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F4" w:rsidRPr="00463F19" w:rsidRDefault="007C349F">
      <w:pPr>
        <w:rPr>
          <w:b/>
          <w:sz w:val="36"/>
          <w:szCs w:val="36"/>
        </w:rPr>
      </w:pPr>
      <w:r w:rsidRPr="00463F19">
        <w:rPr>
          <w:b/>
          <w:sz w:val="36"/>
          <w:szCs w:val="36"/>
        </w:rPr>
        <w:t xml:space="preserve">Report </w:t>
      </w:r>
      <w:proofErr w:type="spellStart"/>
      <w:r w:rsidR="00387284">
        <w:rPr>
          <w:b/>
          <w:sz w:val="36"/>
          <w:szCs w:val="36"/>
        </w:rPr>
        <w:t>Spevigo</w:t>
      </w:r>
      <w:proofErr w:type="spellEnd"/>
      <w:r w:rsidR="00387284">
        <w:rPr>
          <w:b/>
          <w:sz w:val="36"/>
          <w:szCs w:val="36"/>
        </w:rPr>
        <w:t xml:space="preserve">®- </w:t>
      </w:r>
      <w:proofErr w:type="spellStart"/>
      <w:r w:rsidR="00387284">
        <w:rPr>
          <w:b/>
          <w:sz w:val="36"/>
          <w:szCs w:val="36"/>
        </w:rPr>
        <w:t>s</w:t>
      </w:r>
      <w:r w:rsidR="00B61C49" w:rsidRPr="00463F19">
        <w:rPr>
          <w:b/>
          <w:sz w:val="36"/>
          <w:szCs w:val="36"/>
        </w:rPr>
        <w:t>pesolimab</w:t>
      </w:r>
      <w:proofErr w:type="spellEnd"/>
    </w:p>
    <w:tbl>
      <w:tblPr>
        <w:tblStyle w:val="a0"/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2551"/>
        <w:gridCol w:w="8364"/>
        <w:gridCol w:w="2835"/>
      </w:tblGrid>
      <w:tr w:rsidR="006353F4" w:rsidRPr="00463F19" w:rsidTr="005B3DE4">
        <w:tc>
          <w:tcPr>
            <w:tcW w:w="1985" w:type="dxa"/>
            <w:shd w:val="clear" w:color="auto" w:fill="D9D9D9"/>
          </w:tcPr>
          <w:p w:rsidR="006353F4" w:rsidRPr="00463F19" w:rsidRDefault="007C349F" w:rsidP="00532DED">
            <w:pPr>
              <w:jc w:val="center"/>
              <w:rPr>
                <w:b/>
                <w:sz w:val="18"/>
                <w:szCs w:val="18"/>
              </w:rPr>
            </w:pPr>
            <w:r w:rsidRPr="00463F19">
              <w:rPr>
                <w:b/>
                <w:sz w:val="18"/>
                <w:szCs w:val="18"/>
              </w:rPr>
              <w:t>Product &amp;</w:t>
            </w:r>
          </w:p>
          <w:p w:rsidR="006353F4" w:rsidRPr="00463F19" w:rsidRDefault="00532DED" w:rsidP="00532DED">
            <w:pPr>
              <w:jc w:val="center"/>
              <w:rPr>
                <w:b/>
                <w:sz w:val="18"/>
                <w:szCs w:val="18"/>
              </w:rPr>
            </w:pPr>
            <w:r w:rsidRPr="00463F19">
              <w:rPr>
                <w:b/>
                <w:sz w:val="18"/>
                <w:szCs w:val="18"/>
              </w:rPr>
              <w:t xml:space="preserve">Mechanism </w:t>
            </w:r>
            <w:r w:rsidR="007C349F" w:rsidRPr="00463F19">
              <w:rPr>
                <w:b/>
                <w:sz w:val="18"/>
                <w:szCs w:val="18"/>
              </w:rPr>
              <w:t>of action</w:t>
            </w:r>
          </w:p>
        </w:tc>
        <w:tc>
          <w:tcPr>
            <w:tcW w:w="2551" w:type="dxa"/>
            <w:shd w:val="clear" w:color="auto" w:fill="D9D9D9"/>
          </w:tcPr>
          <w:p w:rsidR="006353F4" w:rsidRPr="00463F19" w:rsidRDefault="007C349F">
            <w:pPr>
              <w:jc w:val="center"/>
              <w:rPr>
                <w:b/>
                <w:sz w:val="18"/>
                <w:szCs w:val="18"/>
              </w:rPr>
            </w:pPr>
            <w:r w:rsidRPr="00463F19">
              <w:rPr>
                <w:b/>
                <w:sz w:val="18"/>
                <w:szCs w:val="18"/>
              </w:rPr>
              <w:t>Authorized indications</w:t>
            </w:r>
          </w:p>
          <w:p w:rsidR="006353F4" w:rsidRPr="00463F19" w:rsidRDefault="007C349F">
            <w:pPr>
              <w:jc w:val="center"/>
              <w:rPr>
                <w:b/>
                <w:sz w:val="18"/>
                <w:szCs w:val="18"/>
              </w:rPr>
            </w:pPr>
            <w:r w:rsidRPr="00463F19">
              <w:rPr>
                <w:b/>
                <w:sz w:val="18"/>
                <w:szCs w:val="18"/>
              </w:rPr>
              <w:t>Licensing status</w:t>
            </w:r>
          </w:p>
        </w:tc>
        <w:tc>
          <w:tcPr>
            <w:tcW w:w="8364" w:type="dxa"/>
            <w:shd w:val="clear" w:color="auto" w:fill="D9D9D9"/>
          </w:tcPr>
          <w:p w:rsidR="006353F4" w:rsidRPr="00463F19" w:rsidRDefault="007C349F">
            <w:pPr>
              <w:jc w:val="center"/>
              <w:rPr>
                <w:b/>
                <w:sz w:val="18"/>
                <w:szCs w:val="18"/>
              </w:rPr>
            </w:pPr>
            <w:r w:rsidRPr="00463F19">
              <w:rPr>
                <w:b/>
                <w:sz w:val="18"/>
                <w:szCs w:val="18"/>
              </w:rPr>
              <w:t>Essential therapeutic features</w:t>
            </w:r>
          </w:p>
        </w:tc>
        <w:tc>
          <w:tcPr>
            <w:tcW w:w="2835" w:type="dxa"/>
            <w:shd w:val="clear" w:color="auto" w:fill="D9D9D9"/>
          </w:tcPr>
          <w:p w:rsidR="006353F4" w:rsidRPr="00463F19" w:rsidRDefault="007C349F">
            <w:pPr>
              <w:jc w:val="center"/>
              <w:rPr>
                <w:b/>
                <w:sz w:val="18"/>
                <w:szCs w:val="18"/>
              </w:rPr>
            </w:pPr>
            <w:r w:rsidRPr="00463F19">
              <w:rPr>
                <w:b/>
                <w:sz w:val="18"/>
                <w:szCs w:val="18"/>
              </w:rPr>
              <w:t>NHS impact</w:t>
            </w:r>
          </w:p>
        </w:tc>
      </w:tr>
      <w:tr w:rsidR="006353F4" w:rsidTr="005B3DE4">
        <w:trPr>
          <w:trHeight w:val="6249"/>
        </w:trPr>
        <w:tc>
          <w:tcPr>
            <w:tcW w:w="1985" w:type="dxa"/>
          </w:tcPr>
          <w:p w:rsidR="006353F4" w:rsidRPr="00463F19" w:rsidRDefault="007C349F" w:rsidP="00532DED">
            <w:pPr>
              <w:jc w:val="both"/>
              <w:rPr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Substance:</w:t>
            </w:r>
            <w:r w:rsidR="0038728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87284">
              <w:rPr>
                <w:sz w:val="16"/>
                <w:szCs w:val="16"/>
              </w:rPr>
              <w:t>s</w:t>
            </w:r>
            <w:r w:rsidR="00B61C49" w:rsidRPr="00463F19">
              <w:rPr>
                <w:sz w:val="16"/>
                <w:szCs w:val="16"/>
              </w:rPr>
              <w:t>pesolimab</w:t>
            </w:r>
            <w:proofErr w:type="spellEnd"/>
          </w:p>
          <w:p w:rsidR="006353F4" w:rsidRPr="00463F19" w:rsidRDefault="006353F4" w:rsidP="00532DED">
            <w:pPr>
              <w:jc w:val="both"/>
              <w:rPr>
                <w:sz w:val="16"/>
                <w:szCs w:val="16"/>
              </w:rPr>
            </w:pPr>
          </w:p>
          <w:p w:rsidR="006353F4" w:rsidRPr="00463F19" w:rsidRDefault="007C349F" w:rsidP="00532DED">
            <w:pPr>
              <w:jc w:val="both"/>
              <w:rPr>
                <w:b/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Brand Name:</w:t>
            </w:r>
            <w:r w:rsidR="0038728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32DED" w:rsidRPr="00463F19">
              <w:rPr>
                <w:sz w:val="16"/>
                <w:szCs w:val="16"/>
              </w:rPr>
              <w:t>Spedigo</w:t>
            </w:r>
            <w:proofErr w:type="spellEnd"/>
            <w:r w:rsidR="00B61C49" w:rsidRPr="00463F19">
              <w:rPr>
                <w:sz w:val="16"/>
                <w:szCs w:val="16"/>
              </w:rPr>
              <w:t>®</w:t>
            </w:r>
          </w:p>
          <w:p w:rsidR="006353F4" w:rsidRPr="00463F19" w:rsidRDefault="006353F4" w:rsidP="00532DED">
            <w:pPr>
              <w:jc w:val="both"/>
              <w:rPr>
                <w:b/>
                <w:sz w:val="16"/>
                <w:szCs w:val="16"/>
              </w:rPr>
            </w:pPr>
          </w:p>
          <w:p w:rsidR="006353F4" w:rsidRPr="00463F19" w:rsidRDefault="007C349F" w:rsidP="00532DED">
            <w:pPr>
              <w:jc w:val="both"/>
              <w:rPr>
                <w:b/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Originator/licensee:</w:t>
            </w:r>
            <w:r w:rsidR="0038728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61C49" w:rsidRPr="00463F19">
              <w:rPr>
                <w:sz w:val="16"/>
                <w:szCs w:val="16"/>
              </w:rPr>
              <w:t>Boehringer</w:t>
            </w:r>
            <w:proofErr w:type="spellEnd"/>
            <w:r w:rsidR="00B61C49" w:rsidRPr="00463F19">
              <w:rPr>
                <w:sz w:val="16"/>
                <w:szCs w:val="16"/>
              </w:rPr>
              <w:t xml:space="preserve"> </w:t>
            </w:r>
            <w:proofErr w:type="spellStart"/>
            <w:r w:rsidR="00B61C49" w:rsidRPr="00463F19">
              <w:rPr>
                <w:sz w:val="16"/>
                <w:szCs w:val="16"/>
              </w:rPr>
              <w:t>Ingelheim</w:t>
            </w:r>
            <w:proofErr w:type="spellEnd"/>
            <w:r w:rsidR="00B61C49" w:rsidRPr="00463F19">
              <w:rPr>
                <w:sz w:val="16"/>
                <w:szCs w:val="16"/>
              </w:rPr>
              <w:t xml:space="preserve"> International GmbH</w:t>
            </w:r>
          </w:p>
          <w:p w:rsidR="006353F4" w:rsidRPr="00463F19" w:rsidRDefault="006353F4" w:rsidP="00532DED">
            <w:pPr>
              <w:jc w:val="both"/>
              <w:rPr>
                <w:b/>
                <w:sz w:val="16"/>
                <w:szCs w:val="16"/>
              </w:rPr>
            </w:pPr>
          </w:p>
          <w:p w:rsidR="006353F4" w:rsidRPr="00463F19" w:rsidRDefault="007C349F" w:rsidP="00532DED">
            <w:pPr>
              <w:jc w:val="both"/>
              <w:rPr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Classification:</w:t>
            </w:r>
            <w:r w:rsidR="00786391" w:rsidRPr="00463F19">
              <w:rPr>
                <w:sz w:val="16"/>
                <w:szCs w:val="16"/>
              </w:rPr>
              <w:t>NCE</w:t>
            </w:r>
          </w:p>
          <w:p w:rsidR="006353F4" w:rsidRPr="00463F19" w:rsidRDefault="006353F4" w:rsidP="00532DED">
            <w:pPr>
              <w:jc w:val="both"/>
              <w:rPr>
                <w:b/>
                <w:sz w:val="16"/>
                <w:szCs w:val="16"/>
              </w:rPr>
            </w:pPr>
          </w:p>
          <w:p w:rsidR="006353F4" w:rsidRPr="00463F19" w:rsidRDefault="007C349F" w:rsidP="00532DED">
            <w:pPr>
              <w:jc w:val="both"/>
              <w:rPr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 xml:space="preserve">ATC code: </w:t>
            </w:r>
            <w:r w:rsidR="00B61C49" w:rsidRPr="00463F19">
              <w:rPr>
                <w:sz w:val="16"/>
                <w:szCs w:val="16"/>
              </w:rPr>
              <w:t>L04AC22</w:t>
            </w:r>
          </w:p>
          <w:p w:rsidR="006353F4" w:rsidRPr="00463F19" w:rsidRDefault="006353F4" w:rsidP="00532DED">
            <w:pPr>
              <w:jc w:val="both"/>
              <w:rPr>
                <w:sz w:val="16"/>
                <w:szCs w:val="16"/>
              </w:rPr>
            </w:pPr>
          </w:p>
          <w:p w:rsidR="006353F4" w:rsidRPr="00463F19" w:rsidRDefault="007C349F" w:rsidP="00532DED">
            <w:pPr>
              <w:jc w:val="both"/>
              <w:rPr>
                <w:b/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Orphan Status:</w:t>
            </w:r>
          </w:p>
          <w:p w:rsidR="006353F4" w:rsidRPr="00463F19" w:rsidRDefault="007C349F" w:rsidP="00532DED">
            <w:pPr>
              <w:jc w:val="both"/>
              <w:rPr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Eu:</w:t>
            </w:r>
            <w:r w:rsidR="00AF1463" w:rsidRPr="00463F19">
              <w:rPr>
                <w:sz w:val="16"/>
                <w:szCs w:val="16"/>
              </w:rPr>
              <w:t>No</w:t>
            </w:r>
          </w:p>
          <w:p w:rsidR="006353F4" w:rsidRPr="00463F19" w:rsidRDefault="007C349F" w:rsidP="00532DED">
            <w:pPr>
              <w:jc w:val="both"/>
              <w:rPr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Us:</w:t>
            </w:r>
            <w:r w:rsidR="006E1A74" w:rsidRPr="00463F19">
              <w:rPr>
                <w:sz w:val="16"/>
                <w:szCs w:val="16"/>
              </w:rPr>
              <w:t>Yes</w:t>
            </w:r>
          </w:p>
          <w:p w:rsidR="006353F4" w:rsidRPr="00463F19" w:rsidRDefault="006353F4" w:rsidP="00532DED">
            <w:pPr>
              <w:jc w:val="both"/>
              <w:rPr>
                <w:b/>
                <w:sz w:val="16"/>
                <w:szCs w:val="16"/>
              </w:rPr>
            </w:pPr>
          </w:p>
          <w:p w:rsidR="006353F4" w:rsidRPr="00463F19" w:rsidRDefault="007C349F" w:rsidP="00BB77BB">
            <w:pPr>
              <w:jc w:val="both"/>
              <w:rPr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 xml:space="preserve">Mechanism of action: </w:t>
            </w:r>
            <w:proofErr w:type="spellStart"/>
            <w:r w:rsidR="00387284">
              <w:rPr>
                <w:sz w:val="16"/>
                <w:szCs w:val="16"/>
              </w:rPr>
              <w:t>s</w:t>
            </w:r>
            <w:r w:rsidR="00BB77BB">
              <w:rPr>
                <w:sz w:val="16"/>
                <w:szCs w:val="16"/>
              </w:rPr>
              <w:t>pesolimab</w:t>
            </w:r>
            <w:proofErr w:type="spellEnd"/>
            <w:r w:rsidR="00EC7C34" w:rsidRPr="00463F19">
              <w:rPr>
                <w:sz w:val="16"/>
                <w:szCs w:val="16"/>
              </w:rPr>
              <w:t xml:space="preserve"> is a humanized monoclonal immunoglobulin G1 antibody that inhibits IL-36 signaling by specifically binding to the I</w:t>
            </w:r>
            <w:r w:rsidR="00BB77BB">
              <w:rPr>
                <w:sz w:val="16"/>
                <w:szCs w:val="16"/>
              </w:rPr>
              <w:t xml:space="preserve">L36R. Binding of </w:t>
            </w:r>
            <w:proofErr w:type="spellStart"/>
            <w:r w:rsidR="00BB77BB">
              <w:rPr>
                <w:sz w:val="16"/>
                <w:szCs w:val="16"/>
              </w:rPr>
              <w:t>Spesolimab</w:t>
            </w:r>
            <w:proofErr w:type="spellEnd"/>
            <w:r w:rsidR="00EC7C34" w:rsidRPr="00463F19">
              <w:rPr>
                <w:sz w:val="16"/>
                <w:szCs w:val="16"/>
              </w:rPr>
              <w:t xml:space="preserve"> to IL36R prevents the subsequent activation of IL36R by cognate ligands (IL-36 α, β and γ) and downstream activation of pro-inflammatory and pro-fibrotic pathways. The precise mechanism linking reduced IL36R activity and the treatment of flares of GPP is unclear</w:t>
            </w:r>
            <w:r w:rsidR="00811772" w:rsidRPr="00463F19">
              <w:rPr>
                <w:sz w:val="16"/>
                <w:szCs w:val="16"/>
              </w:rPr>
              <w:t xml:space="preserve"> [1]</w:t>
            </w:r>
            <w:r w:rsidR="00EC7C34" w:rsidRPr="00463F19">
              <w:rPr>
                <w:sz w:val="16"/>
                <w:szCs w:val="16"/>
              </w:rPr>
              <w:t>.</w:t>
            </w:r>
          </w:p>
          <w:p w:rsidR="006353F4" w:rsidRPr="00463F19" w:rsidRDefault="006353F4" w:rsidP="008117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353F4" w:rsidRPr="00463F19" w:rsidRDefault="007C349F" w:rsidP="00510C5A">
            <w:pPr>
              <w:jc w:val="both"/>
              <w:rPr>
                <w:b/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 xml:space="preserve">Authorized Indication: </w:t>
            </w:r>
          </w:p>
          <w:p w:rsidR="006353F4" w:rsidRDefault="007C349F" w:rsidP="00510C5A">
            <w:pPr>
              <w:jc w:val="both"/>
              <w:rPr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 xml:space="preserve">EMA: </w:t>
            </w:r>
            <w:r w:rsidR="007C55AA" w:rsidRPr="00463F19">
              <w:rPr>
                <w:sz w:val="16"/>
                <w:szCs w:val="16"/>
              </w:rPr>
              <w:t>Treatment of flares in adult patients with GPP</w:t>
            </w:r>
            <w:r w:rsidR="00811772" w:rsidRPr="00463F19">
              <w:rPr>
                <w:sz w:val="16"/>
                <w:szCs w:val="16"/>
              </w:rPr>
              <w:t xml:space="preserve"> [2]</w:t>
            </w:r>
            <w:r w:rsidR="007C55AA" w:rsidRPr="00463F19">
              <w:rPr>
                <w:sz w:val="16"/>
                <w:szCs w:val="16"/>
              </w:rPr>
              <w:t>.</w:t>
            </w:r>
          </w:p>
          <w:p w:rsidR="00336678" w:rsidRPr="00463F19" w:rsidRDefault="00336678" w:rsidP="00510C5A">
            <w:pPr>
              <w:jc w:val="both"/>
              <w:rPr>
                <w:sz w:val="16"/>
                <w:szCs w:val="16"/>
              </w:rPr>
            </w:pPr>
          </w:p>
          <w:p w:rsidR="007C55AA" w:rsidRPr="00463F19" w:rsidRDefault="00EC7C34" w:rsidP="00510C5A">
            <w:pPr>
              <w:jc w:val="both"/>
              <w:rPr>
                <w:sz w:val="16"/>
                <w:szCs w:val="16"/>
              </w:rPr>
            </w:pPr>
            <w:proofErr w:type="spellStart"/>
            <w:r w:rsidRPr="00463F19">
              <w:rPr>
                <w:b/>
                <w:sz w:val="16"/>
                <w:szCs w:val="16"/>
              </w:rPr>
              <w:t>FDA:</w:t>
            </w:r>
            <w:r w:rsidR="00BB77BB">
              <w:rPr>
                <w:sz w:val="16"/>
                <w:szCs w:val="16"/>
              </w:rPr>
              <w:t>Spesolimab</w:t>
            </w:r>
            <w:proofErr w:type="spellEnd"/>
            <w:r w:rsidRPr="00463F19">
              <w:rPr>
                <w:sz w:val="16"/>
                <w:szCs w:val="16"/>
              </w:rPr>
              <w:t xml:space="preserve"> is an </w:t>
            </w:r>
            <w:r w:rsidR="00834CDE" w:rsidRPr="00463F19">
              <w:rPr>
                <w:sz w:val="16"/>
                <w:szCs w:val="16"/>
              </w:rPr>
              <w:t xml:space="preserve">IL36R </w:t>
            </w:r>
            <w:r w:rsidRPr="00463F19">
              <w:rPr>
                <w:sz w:val="16"/>
                <w:szCs w:val="16"/>
              </w:rPr>
              <w:t xml:space="preserve">antagonist indicated for the treatment of </w:t>
            </w:r>
            <w:r w:rsidR="00834CDE" w:rsidRPr="00463F19">
              <w:rPr>
                <w:sz w:val="16"/>
                <w:szCs w:val="16"/>
              </w:rPr>
              <w:t xml:space="preserve">GPP </w:t>
            </w:r>
            <w:r w:rsidRPr="00463F19">
              <w:rPr>
                <w:sz w:val="16"/>
                <w:szCs w:val="16"/>
              </w:rPr>
              <w:t>flares in adults</w:t>
            </w:r>
            <w:r w:rsidR="00811772" w:rsidRPr="00463F19">
              <w:rPr>
                <w:sz w:val="16"/>
                <w:szCs w:val="16"/>
              </w:rPr>
              <w:t xml:space="preserve"> [1]</w:t>
            </w:r>
            <w:r w:rsidRPr="00463F19">
              <w:rPr>
                <w:sz w:val="16"/>
                <w:szCs w:val="16"/>
              </w:rPr>
              <w:t>.</w:t>
            </w:r>
          </w:p>
          <w:p w:rsidR="00510C5A" w:rsidRPr="00463F19" w:rsidRDefault="00510C5A" w:rsidP="00510C5A">
            <w:pPr>
              <w:jc w:val="both"/>
              <w:rPr>
                <w:sz w:val="16"/>
                <w:szCs w:val="16"/>
              </w:rPr>
            </w:pPr>
          </w:p>
          <w:p w:rsidR="006353F4" w:rsidRPr="00463F19" w:rsidRDefault="007C349F" w:rsidP="00510C5A">
            <w:pPr>
              <w:jc w:val="both"/>
              <w:rPr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Route of administration:</w:t>
            </w:r>
            <w:r w:rsidR="007C55AA" w:rsidRPr="00463F19">
              <w:rPr>
                <w:sz w:val="16"/>
                <w:szCs w:val="16"/>
              </w:rPr>
              <w:t>IV</w:t>
            </w:r>
          </w:p>
          <w:p w:rsidR="006353F4" w:rsidRPr="00463F19" w:rsidRDefault="006353F4" w:rsidP="00510C5A">
            <w:pPr>
              <w:jc w:val="both"/>
              <w:rPr>
                <w:b/>
                <w:sz w:val="16"/>
                <w:szCs w:val="16"/>
              </w:rPr>
            </w:pPr>
          </w:p>
          <w:p w:rsidR="006353F4" w:rsidRPr="00463F19" w:rsidRDefault="007C349F" w:rsidP="00510C5A">
            <w:pPr>
              <w:jc w:val="both"/>
              <w:rPr>
                <w:b/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Licensing status</w:t>
            </w:r>
          </w:p>
          <w:p w:rsidR="006353F4" w:rsidRPr="00463F19" w:rsidRDefault="007C349F" w:rsidP="00510C5A">
            <w:pPr>
              <w:jc w:val="both"/>
              <w:rPr>
                <w:sz w:val="16"/>
                <w:szCs w:val="16"/>
                <w:lang w:val="fr-FR"/>
              </w:rPr>
            </w:pPr>
            <w:r w:rsidRPr="00463F19">
              <w:rPr>
                <w:b/>
                <w:sz w:val="16"/>
                <w:szCs w:val="16"/>
                <w:lang w:val="fr-FR"/>
              </w:rPr>
              <w:t xml:space="preserve">EU CHMP P.O. date: </w:t>
            </w:r>
            <w:r w:rsidR="003A21AD" w:rsidRPr="00463F19">
              <w:rPr>
                <w:sz w:val="16"/>
                <w:szCs w:val="16"/>
                <w:lang w:val="fr-FR"/>
              </w:rPr>
              <w:t>13/10/2022</w:t>
            </w:r>
          </w:p>
          <w:p w:rsidR="006353F4" w:rsidRPr="00463F19" w:rsidRDefault="007C349F" w:rsidP="00510C5A">
            <w:pPr>
              <w:jc w:val="both"/>
              <w:rPr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 xml:space="preserve">FDA M.A. date: </w:t>
            </w:r>
            <w:r w:rsidR="003A21AD" w:rsidRPr="00463F19">
              <w:rPr>
                <w:sz w:val="16"/>
                <w:szCs w:val="16"/>
              </w:rPr>
              <w:t>1/09/2022</w:t>
            </w:r>
          </w:p>
          <w:p w:rsidR="006353F4" w:rsidRPr="00463F19" w:rsidRDefault="006353F4" w:rsidP="00510C5A">
            <w:pPr>
              <w:jc w:val="both"/>
              <w:rPr>
                <w:b/>
                <w:sz w:val="16"/>
                <w:szCs w:val="16"/>
              </w:rPr>
            </w:pPr>
          </w:p>
          <w:p w:rsidR="006353F4" w:rsidRPr="00463F19" w:rsidRDefault="007C349F" w:rsidP="00510C5A">
            <w:pPr>
              <w:jc w:val="both"/>
              <w:rPr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EU Speed Approval Pathway:</w:t>
            </w:r>
            <w:r w:rsidR="005D7AE8" w:rsidRPr="00463F19">
              <w:rPr>
                <w:sz w:val="16"/>
                <w:szCs w:val="16"/>
              </w:rPr>
              <w:t>Yes [</w:t>
            </w:r>
            <w:r w:rsidR="00510C5A" w:rsidRPr="00463F19">
              <w:rPr>
                <w:sz w:val="16"/>
                <w:szCs w:val="16"/>
              </w:rPr>
              <w:t>3</w:t>
            </w:r>
            <w:r w:rsidR="005D7AE8" w:rsidRPr="00463F19">
              <w:rPr>
                <w:sz w:val="16"/>
                <w:szCs w:val="16"/>
              </w:rPr>
              <w:t>]</w:t>
            </w:r>
            <w:r w:rsidRPr="00463F19">
              <w:rPr>
                <w:sz w:val="16"/>
                <w:szCs w:val="16"/>
              </w:rPr>
              <w:br/>
            </w:r>
            <w:r w:rsidRPr="00463F19">
              <w:rPr>
                <w:b/>
                <w:sz w:val="16"/>
                <w:szCs w:val="16"/>
              </w:rPr>
              <w:t xml:space="preserve">FDA Speed Approval Pathway: </w:t>
            </w:r>
            <w:r w:rsidR="007746D9" w:rsidRPr="00463F19">
              <w:rPr>
                <w:sz w:val="16"/>
                <w:szCs w:val="16"/>
              </w:rPr>
              <w:t>No</w:t>
            </w:r>
          </w:p>
          <w:p w:rsidR="006353F4" w:rsidRPr="00463F19" w:rsidRDefault="007C349F" w:rsidP="00510C5A">
            <w:pPr>
              <w:jc w:val="both"/>
              <w:rPr>
                <w:b/>
                <w:sz w:val="14"/>
                <w:szCs w:val="14"/>
              </w:rPr>
            </w:pPr>
            <w:r w:rsidRPr="00463F19">
              <w:rPr>
                <w:b/>
                <w:sz w:val="16"/>
                <w:szCs w:val="16"/>
              </w:rPr>
              <w:br/>
              <w:t>-----</w:t>
            </w:r>
            <w:r w:rsidRPr="00463F19">
              <w:rPr>
                <w:b/>
                <w:sz w:val="16"/>
                <w:szCs w:val="16"/>
              </w:rPr>
              <w:br/>
            </w:r>
            <w:r w:rsidRPr="00463F19">
              <w:rPr>
                <w:b/>
                <w:sz w:val="14"/>
                <w:szCs w:val="14"/>
              </w:rPr>
              <w:t>ABBREVIATIONS:</w:t>
            </w:r>
          </w:p>
          <w:p w:rsidR="00963AA4" w:rsidRPr="00463F19" w:rsidRDefault="00963AA4" w:rsidP="009172DA">
            <w:pPr>
              <w:jc w:val="both"/>
              <w:rPr>
                <w:b/>
                <w:sz w:val="14"/>
                <w:szCs w:val="14"/>
              </w:rPr>
            </w:pPr>
            <w:r w:rsidRPr="00463F19">
              <w:rPr>
                <w:b/>
                <w:sz w:val="14"/>
                <w:szCs w:val="14"/>
              </w:rPr>
              <w:t xml:space="preserve">AE: </w:t>
            </w:r>
            <w:r w:rsidRPr="00463F19">
              <w:rPr>
                <w:sz w:val="14"/>
                <w:szCs w:val="14"/>
              </w:rPr>
              <w:t>Adverse Event</w:t>
            </w:r>
          </w:p>
          <w:p w:rsidR="00030C06" w:rsidRPr="00463F19" w:rsidRDefault="00030C06" w:rsidP="009172DA">
            <w:pPr>
              <w:jc w:val="both"/>
              <w:rPr>
                <w:sz w:val="14"/>
                <w:szCs w:val="14"/>
              </w:rPr>
            </w:pPr>
            <w:r w:rsidRPr="00463F19">
              <w:rPr>
                <w:b/>
                <w:sz w:val="14"/>
                <w:szCs w:val="14"/>
              </w:rPr>
              <w:t xml:space="preserve">GPP: </w:t>
            </w:r>
            <w:r w:rsidRPr="00463F19">
              <w:rPr>
                <w:sz w:val="14"/>
                <w:szCs w:val="14"/>
              </w:rPr>
              <w:t>generalized pustular psoriasis</w:t>
            </w:r>
          </w:p>
          <w:p w:rsidR="00030C06" w:rsidRPr="00463F19" w:rsidRDefault="00030C06" w:rsidP="009172DA">
            <w:pPr>
              <w:jc w:val="both"/>
              <w:rPr>
                <w:b/>
                <w:sz w:val="14"/>
                <w:szCs w:val="14"/>
              </w:rPr>
            </w:pPr>
            <w:r w:rsidRPr="00463F19">
              <w:rPr>
                <w:b/>
                <w:sz w:val="14"/>
                <w:szCs w:val="14"/>
              </w:rPr>
              <w:t>GPPGA:</w:t>
            </w:r>
            <w:r w:rsidRPr="00463F19">
              <w:rPr>
                <w:sz w:val="14"/>
                <w:szCs w:val="14"/>
              </w:rPr>
              <w:t xml:space="preserve"> Generalized Pustular Psoriasis Physician Global Assessment</w:t>
            </w:r>
          </w:p>
          <w:p w:rsidR="006353F4" w:rsidRPr="00463F19" w:rsidRDefault="00EC7C34" w:rsidP="009172DA">
            <w:pPr>
              <w:jc w:val="both"/>
              <w:rPr>
                <w:sz w:val="14"/>
                <w:szCs w:val="14"/>
              </w:rPr>
            </w:pPr>
            <w:r w:rsidRPr="00463F19">
              <w:rPr>
                <w:b/>
                <w:sz w:val="14"/>
                <w:szCs w:val="14"/>
              </w:rPr>
              <w:t>IL-36</w:t>
            </w:r>
            <w:r w:rsidRPr="00463F19">
              <w:rPr>
                <w:sz w:val="14"/>
                <w:szCs w:val="14"/>
              </w:rPr>
              <w:t>: Interleukin-36</w:t>
            </w:r>
          </w:p>
          <w:p w:rsidR="00EC7C34" w:rsidRPr="00463F19" w:rsidRDefault="00EC7C34" w:rsidP="009172DA">
            <w:pPr>
              <w:jc w:val="both"/>
              <w:rPr>
                <w:sz w:val="14"/>
                <w:szCs w:val="14"/>
              </w:rPr>
            </w:pPr>
            <w:r w:rsidRPr="00463F19">
              <w:rPr>
                <w:b/>
                <w:sz w:val="14"/>
                <w:szCs w:val="14"/>
              </w:rPr>
              <w:t xml:space="preserve">IL36R: </w:t>
            </w:r>
            <w:r w:rsidRPr="00463F19">
              <w:rPr>
                <w:sz w:val="14"/>
                <w:szCs w:val="14"/>
              </w:rPr>
              <w:t>Interleukin-36 receptor</w:t>
            </w:r>
          </w:p>
          <w:p w:rsidR="009172DA" w:rsidRPr="00463F19" w:rsidRDefault="009172DA" w:rsidP="009172DA">
            <w:pPr>
              <w:jc w:val="both"/>
              <w:rPr>
                <w:sz w:val="14"/>
                <w:szCs w:val="14"/>
              </w:rPr>
            </w:pPr>
            <w:r w:rsidRPr="00463F19">
              <w:rPr>
                <w:b/>
                <w:sz w:val="14"/>
                <w:szCs w:val="14"/>
              </w:rPr>
              <w:t>NPF:</w:t>
            </w:r>
            <w:r w:rsidRPr="00463F19">
              <w:rPr>
                <w:sz w:val="14"/>
                <w:szCs w:val="14"/>
              </w:rPr>
              <w:t xml:space="preserve"> National Psoriasis Foundation</w:t>
            </w:r>
          </w:p>
          <w:p w:rsidR="006E6846" w:rsidRPr="00463F19" w:rsidRDefault="006E6846" w:rsidP="009172DA">
            <w:pPr>
              <w:jc w:val="both"/>
              <w:rPr>
                <w:sz w:val="14"/>
                <w:szCs w:val="14"/>
              </w:rPr>
            </w:pPr>
            <w:r w:rsidRPr="00463F19">
              <w:rPr>
                <w:b/>
                <w:sz w:val="14"/>
                <w:szCs w:val="14"/>
              </w:rPr>
              <w:t xml:space="preserve">Pts: </w:t>
            </w:r>
            <w:r w:rsidRPr="00463F19">
              <w:rPr>
                <w:sz w:val="14"/>
                <w:szCs w:val="14"/>
              </w:rPr>
              <w:t>Patients</w:t>
            </w:r>
          </w:p>
          <w:p w:rsidR="00963AA4" w:rsidRPr="00463F19" w:rsidRDefault="00963AA4" w:rsidP="009172DA">
            <w:pPr>
              <w:jc w:val="both"/>
              <w:rPr>
                <w:sz w:val="14"/>
                <w:szCs w:val="14"/>
              </w:rPr>
            </w:pPr>
            <w:r w:rsidRPr="00463F19">
              <w:rPr>
                <w:b/>
                <w:sz w:val="14"/>
                <w:szCs w:val="14"/>
              </w:rPr>
              <w:t>SAE:</w:t>
            </w:r>
            <w:r w:rsidRPr="00463F19">
              <w:rPr>
                <w:sz w:val="14"/>
                <w:szCs w:val="14"/>
              </w:rPr>
              <w:t xml:space="preserve"> Serious Adverse Event</w:t>
            </w:r>
          </w:p>
          <w:p w:rsidR="00030C06" w:rsidRPr="00463F19" w:rsidRDefault="00030C0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64" w:type="dxa"/>
          </w:tcPr>
          <w:p w:rsidR="00463F19" w:rsidRDefault="007C349F" w:rsidP="00F6217E">
            <w:pPr>
              <w:jc w:val="both"/>
              <w:rPr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 xml:space="preserve">Summary of clinical </w:t>
            </w:r>
            <w:proofErr w:type="spellStart"/>
            <w:r w:rsidRPr="00463F19">
              <w:rPr>
                <w:b/>
                <w:sz w:val="16"/>
                <w:szCs w:val="16"/>
              </w:rPr>
              <w:t>EFFICACY:</w:t>
            </w:r>
            <w:r w:rsidR="006E6846" w:rsidRPr="00463F19">
              <w:rPr>
                <w:sz w:val="16"/>
                <w:szCs w:val="16"/>
              </w:rPr>
              <w:t>Effisayil</w:t>
            </w:r>
            <w:proofErr w:type="spellEnd"/>
            <w:r w:rsidR="006E6846" w:rsidRPr="00463F19">
              <w:rPr>
                <w:sz w:val="16"/>
                <w:szCs w:val="16"/>
              </w:rPr>
              <w:t xml:space="preserve"> 1</w:t>
            </w:r>
            <w:r w:rsidR="006E6846" w:rsidRPr="00463F19">
              <w:rPr>
                <w:b/>
                <w:sz w:val="16"/>
                <w:szCs w:val="16"/>
              </w:rPr>
              <w:t xml:space="preserve"> (NCT03782792) </w:t>
            </w:r>
            <w:proofErr w:type="spellStart"/>
            <w:r w:rsidR="006E6846" w:rsidRPr="00463F19">
              <w:rPr>
                <w:sz w:val="16"/>
                <w:szCs w:val="16"/>
              </w:rPr>
              <w:t>isa</w:t>
            </w:r>
            <w:proofErr w:type="spellEnd"/>
            <w:r w:rsidR="006E6846" w:rsidRPr="00463F19">
              <w:rPr>
                <w:sz w:val="16"/>
                <w:szCs w:val="16"/>
              </w:rPr>
              <w:t xml:space="preserve"> phase 2, multicenter, randomized, doubleblind, placebo-controlled trial conducted to investigate the efficacy and safety of </w:t>
            </w:r>
            <w:proofErr w:type="spellStart"/>
            <w:r w:rsidR="006E6846" w:rsidRPr="00463F19">
              <w:rPr>
                <w:sz w:val="16"/>
                <w:szCs w:val="16"/>
              </w:rPr>
              <w:t>Spesolimab</w:t>
            </w:r>
            <w:proofErr w:type="spellEnd"/>
            <w:r w:rsidR="006E6846" w:rsidRPr="00463F19">
              <w:rPr>
                <w:sz w:val="16"/>
                <w:szCs w:val="16"/>
              </w:rPr>
              <w:t xml:space="preserve">. </w:t>
            </w:r>
            <w:r w:rsidR="002C3FB4" w:rsidRPr="00463F19">
              <w:rPr>
                <w:sz w:val="16"/>
                <w:szCs w:val="16"/>
                <w:u w:val="single"/>
              </w:rPr>
              <w:t>Inclusion criteria</w:t>
            </w:r>
            <w:r w:rsidR="002C3FB4" w:rsidRPr="00463F19">
              <w:rPr>
                <w:sz w:val="16"/>
                <w:szCs w:val="16"/>
              </w:rPr>
              <w:t xml:space="preserve"> included p</w:t>
            </w:r>
            <w:r w:rsidR="006E6846" w:rsidRPr="00463F19">
              <w:rPr>
                <w:sz w:val="16"/>
                <w:szCs w:val="16"/>
              </w:rPr>
              <w:t xml:space="preserve">ts </w:t>
            </w:r>
            <w:r w:rsidR="002C3FB4" w:rsidRPr="00463F19">
              <w:rPr>
                <w:sz w:val="16"/>
                <w:szCs w:val="16"/>
              </w:rPr>
              <w:t xml:space="preserve">aged 18 to 75 years with history of GPP </w:t>
            </w:r>
            <w:r w:rsidR="006E6846" w:rsidRPr="00463F19">
              <w:rPr>
                <w:sz w:val="16"/>
                <w:szCs w:val="16"/>
              </w:rPr>
              <w:t>flares</w:t>
            </w:r>
            <w:r w:rsidR="002C3FB4" w:rsidRPr="00463F19">
              <w:rPr>
                <w:sz w:val="16"/>
                <w:szCs w:val="16"/>
              </w:rPr>
              <w:t xml:space="preserve">, GPPGA total score of ≥3, new or worsening pustules, a GPPGA </w:t>
            </w:r>
            <w:proofErr w:type="spellStart"/>
            <w:r w:rsidR="002C3FB4" w:rsidRPr="00463F19">
              <w:rPr>
                <w:sz w:val="16"/>
                <w:szCs w:val="16"/>
              </w:rPr>
              <w:t>pustulationsubscore</w:t>
            </w:r>
            <w:proofErr w:type="spellEnd"/>
            <w:r w:rsidR="002C3FB4" w:rsidRPr="00463F19">
              <w:rPr>
                <w:sz w:val="16"/>
                <w:szCs w:val="16"/>
              </w:rPr>
              <w:t xml:space="preserve"> of ≥2, and ≥5% of bodysurface area with erythema and the presence of pustules. </w:t>
            </w:r>
            <w:r w:rsidR="00CC4CF0" w:rsidRPr="00463F19">
              <w:rPr>
                <w:sz w:val="16"/>
                <w:szCs w:val="16"/>
              </w:rPr>
              <w:t>Pts in current treatment with methotrexate, cyclosporine, retinoids</w:t>
            </w:r>
            <w:r w:rsidR="006E6846" w:rsidRPr="00463F19">
              <w:rPr>
                <w:sz w:val="16"/>
                <w:szCs w:val="16"/>
              </w:rPr>
              <w:t xml:space="preserve"> were</w:t>
            </w:r>
            <w:r w:rsidR="00CC4CF0" w:rsidRPr="00463F19">
              <w:rPr>
                <w:sz w:val="16"/>
                <w:szCs w:val="16"/>
              </w:rPr>
              <w:t xml:space="preserve"> excluded from the trial. After</w:t>
            </w:r>
            <w:r w:rsidR="00532DED" w:rsidRPr="00463F19">
              <w:rPr>
                <w:sz w:val="16"/>
                <w:szCs w:val="16"/>
              </w:rPr>
              <w:t xml:space="preserve"> the initial screening</w:t>
            </w:r>
            <w:r w:rsidR="00CC4CF0" w:rsidRPr="00463F19">
              <w:rPr>
                <w:sz w:val="16"/>
                <w:szCs w:val="16"/>
              </w:rPr>
              <w:t>, pts were</w:t>
            </w:r>
            <w:r w:rsidR="006E6846" w:rsidRPr="00463F19">
              <w:rPr>
                <w:sz w:val="16"/>
                <w:szCs w:val="16"/>
              </w:rPr>
              <w:t xml:space="preserve"> randomly assigned in a 2:1 ratio to receive a single</w:t>
            </w:r>
            <w:r w:rsidR="00030C06" w:rsidRPr="00463F19">
              <w:rPr>
                <w:sz w:val="16"/>
                <w:szCs w:val="16"/>
              </w:rPr>
              <w:t xml:space="preserve"> IV</w:t>
            </w:r>
            <w:r w:rsidR="006E6846" w:rsidRPr="00463F19">
              <w:rPr>
                <w:sz w:val="16"/>
                <w:szCs w:val="16"/>
              </w:rPr>
              <w:t xml:space="preserve"> dose of 900 mg of </w:t>
            </w:r>
            <w:proofErr w:type="spellStart"/>
            <w:r w:rsidR="006E6846" w:rsidRPr="00463F19">
              <w:rPr>
                <w:sz w:val="16"/>
                <w:szCs w:val="16"/>
              </w:rPr>
              <w:t>Spesolimab</w:t>
            </w:r>
            <w:proofErr w:type="spellEnd"/>
            <w:r w:rsidR="006E6846" w:rsidRPr="00463F19">
              <w:rPr>
                <w:sz w:val="16"/>
                <w:szCs w:val="16"/>
              </w:rPr>
              <w:t xml:space="preserve"> or </w:t>
            </w:r>
            <w:proofErr w:type="spellStart"/>
            <w:r w:rsidR="006E6846" w:rsidRPr="00463F19">
              <w:rPr>
                <w:sz w:val="16"/>
                <w:szCs w:val="16"/>
              </w:rPr>
              <w:t>placebo</w:t>
            </w:r>
            <w:r w:rsidR="00CC4CF0" w:rsidRPr="00463F19">
              <w:rPr>
                <w:sz w:val="16"/>
                <w:szCs w:val="16"/>
              </w:rPr>
              <w:t>.</w:t>
            </w:r>
            <w:r w:rsidR="00030C06" w:rsidRPr="00463F19">
              <w:rPr>
                <w:sz w:val="16"/>
                <w:szCs w:val="16"/>
              </w:rPr>
              <w:t>On</w:t>
            </w:r>
            <w:proofErr w:type="spellEnd"/>
            <w:r w:rsidR="00030C06" w:rsidRPr="00463F19">
              <w:rPr>
                <w:sz w:val="16"/>
                <w:szCs w:val="16"/>
              </w:rPr>
              <w:t xml:space="preserve"> day 8, pt</w:t>
            </w:r>
            <w:r w:rsidR="006E6846" w:rsidRPr="00463F19">
              <w:rPr>
                <w:sz w:val="16"/>
                <w:szCs w:val="16"/>
              </w:rPr>
              <w:t>s from both groups were eligible to receive a</w:t>
            </w:r>
            <w:r w:rsidR="00030C06" w:rsidRPr="00463F19">
              <w:rPr>
                <w:sz w:val="16"/>
                <w:szCs w:val="16"/>
              </w:rPr>
              <w:t xml:space="preserve"> single, open-label, IV dose of 900 mg of </w:t>
            </w:r>
            <w:proofErr w:type="spellStart"/>
            <w:r w:rsidR="00030C06" w:rsidRPr="00463F19">
              <w:rPr>
                <w:sz w:val="16"/>
                <w:szCs w:val="16"/>
              </w:rPr>
              <w:t>S</w:t>
            </w:r>
            <w:r w:rsidR="006E6846" w:rsidRPr="00463F19">
              <w:rPr>
                <w:sz w:val="16"/>
                <w:szCs w:val="16"/>
              </w:rPr>
              <w:t>pesolimab</w:t>
            </w:r>
            <w:proofErr w:type="spellEnd"/>
            <w:r w:rsidR="006E6846" w:rsidRPr="00463F19">
              <w:rPr>
                <w:sz w:val="16"/>
                <w:szCs w:val="16"/>
              </w:rPr>
              <w:t xml:space="preserve"> if they had persi</w:t>
            </w:r>
            <w:r w:rsidR="00377F70" w:rsidRPr="00463F19">
              <w:rPr>
                <w:sz w:val="16"/>
                <w:szCs w:val="16"/>
              </w:rPr>
              <w:t>ste</w:t>
            </w:r>
            <w:r w:rsidR="00CC4CF0" w:rsidRPr="00463F19">
              <w:rPr>
                <w:sz w:val="16"/>
                <w:szCs w:val="16"/>
              </w:rPr>
              <w:t>nt symptoms</w:t>
            </w:r>
            <w:r w:rsidR="00F6217E" w:rsidRPr="00463F19">
              <w:rPr>
                <w:sz w:val="16"/>
                <w:szCs w:val="16"/>
              </w:rPr>
              <w:t xml:space="preserve"> at the end of week 1</w:t>
            </w:r>
            <w:r w:rsidR="00CC4CF0" w:rsidRPr="00463F19">
              <w:rPr>
                <w:sz w:val="16"/>
                <w:szCs w:val="16"/>
              </w:rPr>
              <w:t xml:space="preserve">, on the basis of: </w:t>
            </w:r>
            <w:r w:rsidR="00030C06" w:rsidRPr="00463F19">
              <w:rPr>
                <w:sz w:val="16"/>
                <w:szCs w:val="16"/>
              </w:rPr>
              <w:t>GPPGA total score ≥</w:t>
            </w:r>
            <w:r w:rsidR="006E6846" w:rsidRPr="00463F19">
              <w:rPr>
                <w:sz w:val="16"/>
                <w:szCs w:val="16"/>
              </w:rPr>
              <w:t>2</w:t>
            </w:r>
            <w:r w:rsidR="00463F19">
              <w:rPr>
                <w:sz w:val="16"/>
                <w:szCs w:val="16"/>
              </w:rPr>
              <w:t>;</w:t>
            </w:r>
            <w:r w:rsidR="006E6846" w:rsidRPr="00463F19">
              <w:rPr>
                <w:sz w:val="16"/>
                <w:szCs w:val="16"/>
              </w:rPr>
              <w:t xml:space="preserve">a clinician assessment of GPP severity based on a modified </w:t>
            </w:r>
            <w:r w:rsidR="00377F70" w:rsidRPr="00463F19">
              <w:rPr>
                <w:sz w:val="16"/>
                <w:szCs w:val="16"/>
              </w:rPr>
              <w:t>GPPGA</w:t>
            </w:r>
            <w:r w:rsidR="00463F19">
              <w:rPr>
                <w:sz w:val="16"/>
                <w:szCs w:val="16"/>
              </w:rPr>
              <w:t>;</w:t>
            </w:r>
            <w:r w:rsidR="006E6846" w:rsidRPr="00463F19">
              <w:rPr>
                <w:sz w:val="16"/>
                <w:szCs w:val="16"/>
              </w:rPr>
              <w:t xml:space="preserve">GPPGA </w:t>
            </w:r>
            <w:proofErr w:type="spellStart"/>
            <w:r w:rsidR="006E6846" w:rsidRPr="00463F19">
              <w:rPr>
                <w:sz w:val="16"/>
                <w:szCs w:val="16"/>
              </w:rPr>
              <w:t>pustulationsubscore</w:t>
            </w:r>
            <w:proofErr w:type="spellEnd"/>
            <w:r w:rsidR="00377F70" w:rsidRPr="00463F19">
              <w:rPr>
                <w:sz w:val="16"/>
                <w:szCs w:val="16"/>
              </w:rPr>
              <w:t>≥</w:t>
            </w:r>
            <w:r w:rsidR="006E6846" w:rsidRPr="00463F19">
              <w:rPr>
                <w:sz w:val="16"/>
                <w:szCs w:val="16"/>
              </w:rPr>
              <w:t xml:space="preserve"> 2</w:t>
            </w:r>
            <w:r w:rsidR="00F6217E" w:rsidRPr="00463F19">
              <w:rPr>
                <w:sz w:val="16"/>
                <w:szCs w:val="16"/>
              </w:rPr>
              <w:t>.</w:t>
            </w:r>
            <w:r w:rsidR="00141946" w:rsidRPr="00463F19">
              <w:rPr>
                <w:sz w:val="16"/>
                <w:szCs w:val="16"/>
              </w:rPr>
              <w:t xml:space="preserve">The primary EP was a GPPGA </w:t>
            </w:r>
            <w:proofErr w:type="spellStart"/>
            <w:r w:rsidR="00141946" w:rsidRPr="00463F19">
              <w:rPr>
                <w:sz w:val="16"/>
                <w:szCs w:val="16"/>
              </w:rPr>
              <w:t>pustulationsubscore</w:t>
            </w:r>
            <w:proofErr w:type="spellEnd"/>
            <w:r w:rsidR="00141946" w:rsidRPr="00463F19">
              <w:rPr>
                <w:sz w:val="16"/>
                <w:szCs w:val="16"/>
              </w:rPr>
              <w:t xml:space="preserve"> of 0 (no visible pustules) at the end of week 1.</w:t>
            </w:r>
          </w:p>
          <w:p w:rsidR="00963C4E" w:rsidRPr="00463F19" w:rsidRDefault="0099314D" w:rsidP="00F6217E">
            <w:pPr>
              <w:jc w:val="both"/>
              <w:rPr>
                <w:sz w:val="16"/>
                <w:szCs w:val="16"/>
              </w:rPr>
            </w:pPr>
            <w:r w:rsidRPr="00463F19">
              <w:rPr>
                <w:sz w:val="16"/>
                <w:szCs w:val="16"/>
              </w:rPr>
              <w:t xml:space="preserve">A total of 52 </w:t>
            </w:r>
            <w:r w:rsidR="00963C4E" w:rsidRPr="00463F19">
              <w:rPr>
                <w:sz w:val="16"/>
                <w:szCs w:val="16"/>
              </w:rPr>
              <w:t>of the 53 enrolled p</w:t>
            </w:r>
            <w:r w:rsidRPr="00463F19">
              <w:rPr>
                <w:sz w:val="16"/>
                <w:szCs w:val="16"/>
              </w:rPr>
              <w:t>ts complet</w:t>
            </w:r>
            <w:r w:rsidR="00963C4E" w:rsidRPr="00463F19">
              <w:rPr>
                <w:sz w:val="16"/>
                <w:szCs w:val="16"/>
              </w:rPr>
              <w:t xml:space="preserve">ed the first week of the trial: a total of 19 of the 34 pts (54%) who received </w:t>
            </w:r>
            <w:proofErr w:type="spellStart"/>
            <w:r w:rsidR="00963C4E" w:rsidRPr="00463F19">
              <w:rPr>
                <w:sz w:val="16"/>
                <w:szCs w:val="16"/>
              </w:rPr>
              <w:t>Spesolimab</w:t>
            </w:r>
            <w:r w:rsidR="00F6217E" w:rsidRPr="00463F19">
              <w:rPr>
                <w:sz w:val="16"/>
                <w:szCs w:val="16"/>
              </w:rPr>
              <w:t>and</w:t>
            </w:r>
            <w:proofErr w:type="spellEnd"/>
            <w:r w:rsidR="00F6217E" w:rsidRPr="00463F19">
              <w:rPr>
                <w:sz w:val="16"/>
                <w:szCs w:val="16"/>
              </w:rPr>
              <w:t xml:space="preserve"> 1 of the 18 p</w:t>
            </w:r>
            <w:r w:rsidR="00963C4E" w:rsidRPr="00463F19">
              <w:rPr>
                <w:sz w:val="16"/>
                <w:szCs w:val="16"/>
              </w:rPr>
              <w:t xml:space="preserve">ts (6%) who received placebo had a GPPGA </w:t>
            </w:r>
            <w:proofErr w:type="spellStart"/>
            <w:r w:rsidR="00963C4E" w:rsidRPr="00463F19">
              <w:rPr>
                <w:sz w:val="16"/>
                <w:szCs w:val="16"/>
              </w:rPr>
              <w:t>pustulationsubscore</w:t>
            </w:r>
            <w:proofErr w:type="spellEnd"/>
            <w:r w:rsidR="00963C4E" w:rsidRPr="00463F19">
              <w:rPr>
                <w:sz w:val="16"/>
                <w:szCs w:val="16"/>
              </w:rPr>
              <w:t xml:space="preserve"> of 0 (</w:t>
            </w:r>
            <w:r w:rsidR="00F6217E" w:rsidRPr="00463F19">
              <w:rPr>
                <w:sz w:val="16"/>
                <w:szCs w:val="16"/>
              </w:rPr>
              <w:t>difference=</w:t>
            </w:r>
            <w:r w:rsidR="00963C4E" w:rsidRPr="00463F19">
              <w:rPr>
                <w:sz w:val="16"/>
                <w:szCs w:val="16"/>
              </w:rPr>
              <w:t xml:space="preserve"> 49 percentage points; 95% CI [21 to 67])</w:t>
            </w:r>
            <w:r w:rsidR="00811772" w:rsidRPr="00463F19">
              <w:rPr>
                <w:sz w:val="16"/>
                <w:szCs w:val="16"/>
              </w:rPr>
              <w:t xml:space="preserve"> [4]</w:t>
            </w:r>
            <w:r w:rsidR="00963C4E" w:rsidRPr="00463F19">
              <w:rPr>
                <w:sz w:val="16"/>
                <w:szCs w:val="16"/>
              </w:rPr>
              <w:t xml:space="preserve">; </w:t>
            </w:r>
          </w:p>
          <w:p w:rsidR="00963C4E" w:rsidRPr="005B3DE4" w:rsidRDefault="00963C4E" w:rsidP="00F6217E">
            <w:pPr>
              <w:jc w:val="both"/>
              <w:rPr>
                <w:sz w:val="12"/>
                <w:szCs w:val="12"/>
              </w:rPr>
            </w:pPr>
          </w:p>
          <w:p w:rsidR="006353F4" w:rsidRPr="00463F19" w:rsidRDefault="007C349F">
            <w:pPr>
              <w:rPr>
                <w:b/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Summary of clinical SAFETY:</w:t>
            </w:r>
          </w:p>
          <w:p w:rsidR="00A904B5" w:rsidRPr="00463F19" w:rsidRDefault="00510C41" w:rsidP="00FD206B">
            <w:pPr>
              <w:jc w:val="both"/>
              <w:rPr>
                <w:sz w:val="16"/>
                <w:szCs w:val="16"/>
              </w:rPr>
            </w:pPr>
            <w:r w:rsidRPr="00463F19">
              <w:rPr>
                <w:sz w:val="16"/>
                <w:szCs w:val="16"/>
              </w:rPr>
              <w:t xml:space="preserve">Safety data refer to all </w:t>
            </w:r>
            <w:r w:rsidR="009C1CBB" w:rsidRPr="00463F19">
              <w:rPr>
                <w:sz w:val="16"/>
                <w:szCs w:val="16"/>
              </w:rPr>
              <w:t xml:space="preserve">53 pts enrolled in </w:t>
            </w:r>
            <w:r w:rsidR="009C1CBB" w:rsidRPr="00463F19">
              <w:rPr>
                <w:b/>
                <w:sz w:val="16"/>
                <w:szCs w:val="16"/>
              </w:rPr>
              <w:t xml:space="preserve">NCT03782792 </w:t>
            </w:r>
            <w:r w:rsidR="009C1CBB" w:rsidRPr="00463F19">
              <w:rPr>
                <w:sz w:val="16"/>
                <w:szCs w:val="16"/>
              </w:rPr>
              <w:t>trial.</w:t>
            </w:r>
            <w:r w:rsidR="00963AA4" w:rsidRPr="00463F19">
              <w:rPr>
                <w:sz w:val="16"/>
                <w:szCs w:val="16"/>
              </w:rPr>
              <w:t xml:space="preserve"> The summery of AEs that occurredt</w:t>
            </w:r>
            <w:r w:rsidR="009C1CBB" w:rsidRPr="00463F19">
              <w:rPr>
                <w:sz w:val="16"/>
                <w:szCs w:val="16"/>
              </w:rPr>
              <w:t>hrough the first week of treatment</w:t>
            </w:r>
            <w:r w:rsidR="00963AA4" w:rsidRPr="00463F19">
              <w:rPr>
                <w:sz w:val="16"/>
                <w:szCs w:val="16"/>
              </w:rPr>
              <w:t xml:space="preserve"> is listed in the table below.</w:t>
            </w:r>
          </w:p>
          <w:tbl>
            <w:tblPr>
              <w:tblStyle w:val="Grigliatabella"/>
              <w:tblW w:w="0" w:type="auto"/>
              <w:tblInd w:w="168" w:type="dxa"/>
              <w:tblLayout w:type="fixed"/>
              <w:tblLook w:val="04A0"/>
            </w:tblPr>
            <w:tblGrid>
              <w:gridCol w:w="3969"/>
              <w:gridCol w:w="1843"/>
              <w:gridCol w:w="1701"/>
            </w:tblGrid>
            <w:tr w:rsidR="00963AA4" w:rsidRPr="00463F19" w:rsidTr="005B3DE4">
              <w:tc>
                <w:tcPr>
                  <w:tcW w:w="3969" w:type="dxa"/>
                </w:tcPr>
                <w:p w:rsidR="00963AA4" w:rsidRPr="00463F19" w:rsidRDefault="00963AA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963AA4" w:rsidRPr="00463F19" w:rsidRDefault="00963AA4" w:rsidP="00963A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463F19">
                    <w:rPr>
                      <w:b/>
                      <w:sz w:val="16"/>
                      <w:szCs w:val="16"/>
                    </w:rPr>
                    <w:t>Spesolimab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63AA4" w:rsidRPr="00463F19" w:rsidRDefault="00963AA4" w:rsidP="00963AA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3F19">
                    <w:rPr>
                      <w:b/>
                      <w:sz w:val="16"/>
                      <w:szCs w:val="16"/>
                    </w:rPr>
                    <w:t>Placebo</w:t>
                  </w:r>
                </w:p>
              </w:tc>
            </w:tr>
            <w:tr w:rsidR="00963AA4" w:rsidRPr="00463F19" w:rsidTr="005B3DE4">
              <w:tc>
                <w:tcPr>
                  <w:tcW w:w="3969" w:type="dxa"/>
                </w:tcPr>
                <w:p w:rsidR="00963AA4" w:rsidRPr="00463F19" w:rsidRDefault="00963AA4">
                  <w:pPr>
                    <w:rPr>
                      <w:b/>
                      <w:sz w:val="16"/>
                      <w:szCs w:val="16"/>
                    </w:rPr>
                  </w:pPr>
                  <w:r w:rsidRPr="00463F19">
                    <w:rPr>
                      <w:b/>
                      <w:sz w:val="16"/>
                      <w:szCs w:val="16"/>
                    </w:rPr>
                    <w:t>Any AE</w:t>
                  </w:r>
                </w:p>
              </w:tc>
              <w:tc>
                <w:tcPr>
                  <w:tcW w:w="1843" w:type="dxa"/>
                  <w:vAlign w:val="center"/>
                </w:tcPr>
                <w:p w:rsidR="00963AA4" w:rsidRPr="00463F19" w:rsidRDefault="006F40D0" w:rsidP="006F40D0">
                  <w:pPr>
                    <w:jc w:val="center"/>
                    <w:rPr>
                      <w:sz w:val="16"/>
                      <w:szCs w:val="16"/>
                    </w:rPr>
                  </w:pPr>
                  <w:r w:rsidRPr="00463F19">
                    <w:rPr>
                      <w:sz w:val="16"/>
                      <w:szCs w:val="16"/>
                    </w:rPr>
                    <w:t>66%</w:t>
                  </w:r>
                </w:p>
              </w:tc>
              <w:tc>
                <w:tcPr>
                  <w:tcW w:w="1701" w:type="dxa"/>
                  <w:vAlign w:val="center"/>
                </w:tcPr>
                <w:p w:rsidR="00963AA4" w:rsidRPr="00463F19" w:rsidRDefault="006F40D0" w:rsidP="006F40D0">
                  <w:pPr>
                    <w:jc w:val="center"/>
                    <w:rPr>
                      <w:sz w:val="16"/>
                      <w:szCs w:val="16"/>
                    </w:rPr>
                  </w:pPr>
                  <w:r w:rsidRPr="00463F19">
                    <w:rPr>
                      <w:sz w:val="16"/>
                      <w:szCs w:val="16"/>
                    </w:rPr>
                    <w:t>56%</w:t>
                  </w:r>
                </w:p>
              </w:tc>
            </w:tr>
            <w:tr w:rsidR="00963AA4" w:rsidRPr="00463F19" w:rsidTr="005B3DE4">
              <w:tc>
                <w:tcPr>
                  <w:tcW w:w="3969" w:type="dxa"/>
                </w:tcPr>
                <w:p w:rsidR="00963AA4" w:rsidRPr="00463F19" w:rsidRDefault="00963AA4">
                  <w:pPr>
                    <w:rPr>
                      <w:b/>
                      <w:sz w:val="16"/>
                      <w:szCs w:val="16"/>
                    </w:rPr>
                  </w:pPr>
                  <w:r w:rsidRPr="00463F19">
                    <w:rPr>
                      <w:b/>
                      <w:sz w:val="16"/>
                      <w:szCs w:val="16"/>
                    </w:rPr>
                    <w:t xml:space="preserve">Severe AE: RCTC GRADE 3 or 4 </w:t>
                  </w:r>
                </w:p>
              </w:tc>
              <w:tc>
                <w:tcPr>
                  <w:tcW w:w="1843" w:type="dxa"/>
                  <w:vAlign w:val="center"/>
                </w:tcPr>
                <w:p w:rsidR="00963AA4" w:rsidRPr="00463F19" w:rsidRDefault="006F40D0" w:rsidP="006F40D0">
                  <w:pPr>
                    <w:jc w:val="center"/>
                    <w:rPr>
                      <w:sz w:val="16"/>
                      <w:szCs w:val="16"/>
                    </w:rPr>
                  </w:pPr>
                  <w:r w:rsidRPr="00463F19">
                    <w:rPr>
                      <w:sz w:val="16"/>
                      <w:szCs w:val="16"/>
                    </w:rPr>
                    <w:t>6%</w:t>
                  </w:r>
                </w:p>
              </w:tc>
              <w:tc>
                <w:tcPr>
                  <w:tcW w:w="1701" w:type="dxa"/>
                  <w:vAlign w:val="center"/>
                </w:tcPr>
                <w:p w:rsidR="00963AA4" w:rsidRPr="00463F19" w:rsidRDefault="006F40D0" w:rsidP="006F40D0">
                  <w:pPr>
                    <w:jc w:val="center"/>
                    <w:rPr>
                      <w:sz w:val="16"/>
                      <w:szCs w:val="16"/>
                    </w:rPr>
                  </w:pPr>
                  <w:r w:rsidRPr="00463F19">
                    <w:rPr>
                      <w:sz w:val="16"/>
                      <w:szCs w:val="16"/>
                    </w:rPr>
                    <w:t>6%</w:t>
                  </w:r>
                </w:p>
              </w:tc>
            </w:tr>
            <w:tr w:rsidR="00963AA4" w:rsidRPr="00463F19" w:rsidTr="005B3DE4">
              <w:tc>
                <w:tcPr>
                  <w:tcW w:w="3969" w:type="dxa"/>
                </w:tcPr>
                <w:p w:rsidR="00963AA4" w:rsidRPr="00463F19" w:rsidRDefault="00963AA4">
                  <w:pPr>
                    <w:rPr>
                      <w:b/>
                      <w:sz w:val="16"/>
                      <w:szCs w:val="16"/>
                    </w:rPr>
                  </w:pPr>
                  <w:r w:rsidRPr="00463F19">
                    <w:rPr>
                      <w:b/>
                      <w:sz w:val="16"/>
                      <w:szCs w:val="16"/>
                    </w:rPr>
                    <w:t>Investigator-defined drug-related AE</w:t>
                  </w:r>
                </w:p>
              </w:tc>
              <w:tc>
                <w:tcPr>
                  <w:tcW w:w="1843" w:type="dxa"/>
                  <w:vAlign w:val="center"/>
                </w:tcPr>
                <w:p w:rsidR="00963AA4" w:rsidRPr="00463F19" w:rsidRDefault="006F40D0" w:rsidP="006F40D0">
                  <w:pPr>
                    <w:jc w:val="center"/>
                    <w:rPr>
                      <w:sz w:val="16"/>
                      <w:szCs w:val="16"/>
                    </w:rPr>
                  </w:pPr>
                  <w:r w:rsidRPr="00463F19">
                    <w:rPr>
                      <w:sz w:val="16"/>
                      <w:szCs w:val="16"/>
                    </w:rPr>
                    <w:t>29%</w:t>
                  </w:r>
                </w:p>
              </w:tc>
              <w:tc>
                <w:tcPr>
                  <w:tcW w:w="1701" w:type="dxa"/>
                  <w:vAlign w:val="center"/>
                </w:tcPr>
                <w:p w:rsidR="00963AA4" w:rsidRPr="00463F19" w:rsidRDefault="006F40D0" w:rsidP="006F40D0">
                  <w:pPr>
                    <w:jc w:val="center"/>
                    <w:rPr>
                      <w:sz w:val="16"/>
                      <w:szCs w:val="16"/>
                    </w:rPr>
                  </w:pPr>
                  <w:r w:rsidRPr="00463F19">
                    <w:rPr>
                      <w:sz w:val="16"/>
                      <w:szCs w:val="16"/>
                    </w:rPr>
                    <w:t>28%</w:t>
                  </w:r>
                </w:p>
              </w:tc>
            </w:tr>
            <w:tr w:rsidR="00963AA4" w:rsidRPr="00463F19" w:rsidTr="005B3DE4">
              <w:tc>
                <w:tcPr>
                  <w:tcW w:w="3969" w:type="dxa"/>
                </w:tcPr>
                <w:p w:rsidR="00963AA4" w:rsidRPr="00463F19" w:rsidRDefault="00963AA4">
                  <w:pPr>
                    <w:rPr>
                      <w:b/>
                      <w:sz w:val="16"/>
                      <w:szCs w:val="16"/>
                    </w:rPr>
                  </w:pPr>
                  <w:r w:rsidRPr="00463F19">
                    <w:rPr>
                      <w:b/>
                      <w:sz w:val="16"/>
                      <w:szCs w:val="16"/>
                    </w:rPr>
                    <w:t>SAE</w:t>
                  </w:r>
                </w:p>
              </w:tc>
              <w:tc>
                <w:tcPr>
                  <w:tcW w:w="1843" w:type="dxa"/>
                  <w:vAlign w:val="center"/>
                </w:tcPr>
                <w:p w:rsidR="00963AA4" w:rsidRPr="00463F19" w:rsidRDefault="006F40D0" w:rsidP="006F40D0">
                  <w:pPr>
                    <w:jc w:val="center"/>
                    <w:rPr>
                      <w:sz w:val="16"/>
                      <w:szCs w:val="16"/>
                    </w:rPr>
                  </w:pPr>
                  <w:r w:rsidRPr="00463F19">
                    <w:rPr>
                      <w:sz w:val="16"/>
                      <w:szCs w:val="16"/>
                    </w:rPr>
                    <w:t>6%</w:t>
                  </w:r>
                </w:p>
              </w:tc>
              <w:tc>
                <w:tcPr>
                  <w:tcW w:w="1701" w:type="dxa"/>
                  <w:vAlign w:val="center"/>
                </w:tcPr>
                <w:p w:rsidR="00963AA4" w:rsidRPr="00463F19" w:rsidRDefault="006F40D0" w:rsidP="006F40D0">
                  <w:pPr>
                    <w:jc w:val="center"/>
                    <w:rPr>
                      <w:sz w:val="16"/>
                      <w:szCs w:val="16"/>
                    </w:rPr>
                  </w:pPr>
                  <w:r w:rsidRPr="00463F19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963AA4" w:rsidRPr="00463F19" w:rsidTr="005B3DE4">
              <w:tc>
                <w:tcPr>
                  <w:tcW w:w="3969" w:type="dxa"/>
                </w:tcPr>
                <w:p w:rsidR="00963AA4" w:rsidRPr="00463F19" w:rsidRDefault="00963AA4">
                  <w:pPr>
                    <w:rPr>
                      <w:b/>
                      <w:sz w:val="16"/>
                      <w:szCs w:val="16"/>
                    </w:rPr>
                  </w:pPr>
                  <w:r w:rsidRPr="00463F19">
                    <w:rPr>
                      <w:b/>
                      <w:sz w:val="16"/>
                      <w:szCs w:val="16"/>
                    </w:rPr>
                    <w:t>Death</w:t>
                  </w:r>
                </w:p>
              </w:tc>
              <w:tc>
                <w:tcPr>
                  <w:tcW w:w="1843" w:type="dxa"/>
                  <w:vAlign w:val="center"/>
                </w:tcPr>
                <w:p w:rsidR="00963AA4" w:rsidRPr="00463F19" w:rsidRDefault="006F40D0" w:rsidP="006F40D0">
                  <w:pPr>
                    <w:jc w:val="center"/>
                    <w:rPr>
                      <w:sz w:val="16"/>
                      <w:szCs w:val="16"/>
                    </w:rPr>
                  </w:pPr>
                  <w:r w:rsidRPr="00463F1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963AA4" w:rsidRPr="00463F19" w:rsidRDefault="006F40D0" w:rsidP="006F40D0">
                  <w:pPr>
                    <w:jc w:val="center"/>
                    <w:rPr>
                      <w:sz w:val="16"/>
                      <w:szCs w:val="16"/>
                    </w:rPr>
                  </w:pPr>
                  <w:r w:rsidRPr="00463F19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963AA4" w:rsidRPr="00463F19" w:rsidTr="005B3DE4">
              <w:tc>
                <w:tcPr>
                  <w:tcW w:w="3969" w:type="dxa"/>
                </w:tcPr>
                <w:p w:rsidR="00963AA4" w:rsidRPr="00463F19" w:rsidRDefault="00963AA4">
                  <w:pPr>
                    <w:rPr>
                      <w:b/>
                      <w:sz w:val="16"/>
                      <w:szCs w:val="16"/>
                    </w:rPr>
                  </w:pPr>
                  <w:r w:rsidRPr="00463F19">
                    <w:rPr>
                      <w:b/>
                      <w:sz w:val="16"/>
                      <w:szCs w:val="16"/>
                    </w:rPr>
                    <w:t xml:space="preserve">AE leading to discontinuation of </w:t>
                  </w:r>
                  <w:proofErr w:type="spellStart"/>
                  <w:r w:rsidRPr="00463F19">
                    <w:rPr>
                      <w:b/>
                      <w:sz w:val="16"/>
                      <w:szCs w:val="16"/>
                    </w:rPr>
                    <w:t>Spesolimab</w:t>
                  </w:r>
                  <w:proofErr w:type="spellEnd"/>
                  <w:r w:rsidRPr="00463F19">
                    <w:rPr>
                      <w:b/>
                      <w:sz w:val="16"/>
                      <w:szCs w:val="16"/>
                    </w:rPr>
                    <w:t xml:space="preserve"> or Placebo</w:t>
                  </w:r>
                </w:p>
              </w:tc>
              <w:tc>
                <w:tcPr>
                  <w:tcW w:w="1843" w:type="dxa"/>
                  <w:vAlign w:val="center"/>
                </w:tcPr>
                <w:p w:rsidR="00963AA4" w:rsidRPr="00463F19" w:rsidRDefault="006F40D0" w:rsidP="006F40D0">
                  <w:pPr>
                    <w:jc w:val="center"/>
                    <w:rPr>
                      <w:sz w:val="16"/>
                      <w:szCs w:val="16"/>
                    </w:rPr>
                  </w:pPr>
                  <w:r w:rsidRPr="00463F1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963AA4" w:rsidRPr="00463F19" w:rsidRDefault="006F40D0" w:rsidP="006F40D0">
                  <w:pPr>
                    <w:jc w:val="center"/>
                    <w:rPr>
                      <w:sz w:val="16"/>
                      <w:szCs w:val="16"/>
                    </w:rPr>
                  </w:pPr>
                  <w:r w:rsidRPr="00463F19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963AA4" w:rsidRPr="00463F19" w:rsidRDefault="006F40D0" w:rsidP="00FD206B">
            <w:pPr>
              <w:jc w:val="both"/>
              <w:rPr>
                <w:sz w:val="16"/>
                <w:szCs w:val="16"/>
              </w:rPr>
            </w:pPr>
            <w:r w:rsidRPr="00463F19">
              <w:rPr>
                <w:sz w:val="16"/>
                <w:szCs w:val="16"/>
              </w:rPr>
              <w:t>Among the AEs</w:t>
            </w:r>
            <w:r w:rsidR="00336678">
              <w:rPr>
                <w:sz w:val="16"/>
                <w:szCs w:val="16"/>
              </w:rPr>
              <w:t xml:space="preserve"> recorded</w:t>
            </w:r>
            <w:r w:rsidRPr="00463F19">
              <w:rPr>
                <w:sz w:val="16"/>
                <w:szCs w:val="16"/>
              </w:rPr>
              <w:t xml:space="preserve">, the most common were pyrexia, that was reported by 6% of the pts in the </w:t>
            </w:r>
            <w:proofErr w:type="spellStart"/>
            <w:r w:rsidR="00336678">
              <w:rPr>
                <w:sz w:val="16"/>
                <w:szCs w:val="16"/>
              </w:rPr>
              <w:t>S</w:t>
            </w:r>
            <w:r w:rsidRPr="00463F19">
              <w:rPr>
                <w:sz w:val="16"/>
                <w:szCs w:val="16"/>
              </w:rPr>
              <w:t>pesolimab</w:t>
            </w:r>
            <w:proofErr w:type="spellEnd"/>
            <w:r w:rsidRPr="00463F19">
              <w:rPr>
                <w:sz w:val="16"/>
                <w:szCs w:val="16"/>
              </w:rPr>
              <w:t xml:space="preserve"> group </w:t>
            </w:r>
            <w:proofErr w:type="spellStart"/>
            <w:r w:rsidR="00336678">
              <w:rPr>
                <w:sz w:val="16"/>
                <w:szCs w:val="16"/>
              </w:rPr>
              <w:t>vs</w:t>
            </w:r>
            <w:proofErr w:type="spellEnd"/>
            <w:r w:rsidR="00336678">
              <w:rPr>
                <w:sz w:val="16"/>
                <w:szCs w:val="16"/>
              </w:rPr>
              <w:t xml:space="preserve"> </w:t>
            </w:r>
            <w:r w:rsidRPr="00463F19">
              <w:rPr>
                <w:sz w:val="16"/>
                <w:szCs w:val="16"/>
              </w:rPr>
              <w:t>22% of those in the placebo group. While among the SAEs reporte</w:t>
            </w:r>
            <w:r w:rsidR="00534893" w:rsidRPr="00463F19">
              <w:rPr>
                <w:sz w:val="16"/>
                <w:szCs w:val="16"/>
              </w:rPr>
              <w:t xml:space="preserve">d only in the </w:t>
            </w:r>
            <w:proofErr w:type="spellStart"/>
            <w:r w:rsidR="00336678">
              <w:rPr>
                <w:sz w:val="16"/>
                <w:szCs w:val="16"/>
              </w:rPr>
              <w:t>S</w:t>
            </w:r>
            <w:r w:rsidR="00534893" w:rsidRPr="00463F19">
              <w:rPr>
                <w:sz w:val="16"/>
                <w:szCs w:val="16"/>
              </w:rPr>
              <w:t>pesolimab</w:t>
            </w:r>
            <w:proofErr w:type="spellEnd"/>
            <w:r w:rsidR="00534893" w:rsidRPr="00463F19">
              <w:rPr>
                <w:sz w:val="16"/>
                <w:szCs w:val="16"/>
              </w:rPr>
              <w:t xml:space="preserve"> group, the most common were drug reaction with eosinophilia and systemic symptoms, urinary tract infection, drug-induced hepatic injury and arthritis. All these</w:t>
            </w:r>
            <w:r w:rsidR="00CF405D" w:rsidRPr="00463F19">
              <w:rPr>
                <w:sz w:val="16"/>
                <w:szCs w:val="16"/>
              </w:rPr>
              <w:t xml:space="preserve"> events</w:t>
            </w:r>
            <w:r w:rsidR="00534893" w:rsidRPr="00463F19">
              <w:rPr>
                <w:sz w:val="16"/>
                <w:szCs w:val="16"/>
              </w:rPr>
              <w:t xml:space="preserve"> occurred in 3% of pts in the </w:t>
            </w:r>
            <w:proofErr w:type="spellStart"/>
            <w:r w:rsidR="00336678">
              <w:rPr>
                <w:sz w:val="16"/>
                <w:szCs w:val="16"/>
              </w:rPr>
              <w:t>S</w:t>
            </w:r>
            <w:r w:rsidR="00534893" w:rsidRPr="00463F19">
              <w:rPr>
                <w:sz w:val="16"/>
                <w:szCs w:val="16"/>
              </w:rPr>
              <w:t>pesolimab</w:t>
            </w:r>
            <w:proofErr w:type="spellEnd"/>
            <w:r w:rsidR="00534893" w:rsidRPr="00463F19">
              <w:rPr>
                <w:sz w:val="16"/>
                <w:szCs w:val="16"/>
              </w:rPr>
              <w:t xml:space="preserve"> group. </w:t>
            </w:r>
            <w:r w:rsidR="00FD206B" w:rsidRPr="00463F19">
              <w:rPr>
                <w:sz w:val="16"/>
                <w:szCs w:val="16"/>
              </w:rPr>
              <w:t>The severity of AEs was graded according to the RCTC and pustular psoriasis was excluded as an AE from this safety analysis</w:t>
            </w:r>
            <w:r w:rsidR="00811772" w:rsidRPr="00463F19">
              <w:rPr>
                <w:sz w:val="16"/>
                <w:szCs w:val="16"/>
              </w:rPr>
              <w:t xml:space="preserve"> [4]</w:t>
            </w:r>
            <w:r w:rsidR="00FD206B" w:rsidRPr="00463F19">
              <w:rPr>
                <w:sz w:val="16"/>
                <w:szCs w:val="16"/>
              </w:rPr>
              <w:t xml:space="preserve">. </w:t>
            </w:r>
          </w:p>
          <w:p w:rsidR="006353F4" w:rsidRPr="005B3DE4" w:rsidRDefault="006353F4" w:rsidP="00FD206B">
            <w:pPr>
              <w:jc w:val="both"/>
              <w:rPr>
                <w:sz w:val="12"/>
                <w:szCs w:val="12"/>
              </w:rPr>
            </w:pPr>
          </w:p>
          <w:p w:rsidR="006353F4" w:rsidRPr="00463F19" w:rsidRDefault="007C349F">
            <w:pPr>
              <w:rPr>
                <w:b/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Ongoing studies:</w:t>
            </w:r>
          </w:p>
          <w:p w:rsidR="006353F4" w:rsidRPr="00463F19" w:rsidRDefault="007C349F" w:rsidP="005B3D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3" w:hanging="142"/>
              <w:rPr>
                <w:b/>
                <w:i/>
                <w:color w:val="000000"/>
                <w:sz w:val="16"/>
                <w:szCs w:val="16"/>
              </w:rPr>
            </w:pPr>
            <w:r w:rsidRPr="00463F19">
              <w:rPr>
                <w:b/>
                <w:i/>
                <w:color w:val="000000"/>
                <w:sz w:val="16"/>
                <w:szCs w:val="16"/>
              </w:rPr>
              <w:t>For the same indication:</w:t>
            </w:r>
            <w:r w:rsidR="00CF405D" w:rsidRPr="00463F19">
              <w:rPr>
                <w:i/>
                <w:color w:val="000000"/>
                <w:sz w:val="16"/>
                <w:szCs w:val="16"/>
              </w:rPr>
              <w:t>Yes</w:t>
            </w:r>
          </w:p>
          <w:p w:rsidR="006353F4" w:rsidRPr="00195BD9" w:rsidRDefault="007C349F" w:rsidP="003366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3" w:hanging="142"/>
              <w:rPr>
                <w:b/>
                <w:color w:val="000000"/>
                <w:sz w:val="16"/>
                <w:szCs w:val="16"/>
              </w:rPr>
            </w:pPr>
            <w:r w:rsidRPr="00463F19">
              <w:rPr>
                <w:b/>
                <w:i/>
                <w:color w:val="000000"/>
                <w:sz w:val="16"/>
                <w:szCs w:val="16"/>
              </w:rPr>
              <w:t>For other indications:</w:t>
            </w:r>
            <w:r w:rsidR="00CF405D" w:rsidRPr="00463F19">
              <w:rPr>
                <w:i/>
                <w:color w:val="000000"/>
                <w:sz w:val="16"/>
                <w:szCs w:val="16"/>
              </w:rPr>
              <w:t>Yes</w:t>
            </w:r>
          </w:p>
          <w:p w:rsidR="00336678" w:rsidRPr="005B3DE4" w:rsidRDefault="00336678" w:rsidP="0019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2"/>
                <w:szCs w:val="12"/>
              </w:rPr>
            </w:pPr>
          </w:p>
          <w:p w:rsidR="006353F4" w:rsidRPr="00463F19" w:rsidRDefault="007C349F">
            <w:pPr>
              <w:rPr>
                <w:b/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Discontinued studies (for the same indication):</w:t>
            </w:r>
            <w:r w:rsidR="009B30A7" w:rsidRPr="00463F19">
              <w:rPr>
                <w:sz w:val="16"/>
                <w:szCs w:val="16"/>
              </w:rPr>
              <w:t>No</w:t>
            </w:r>
          </w:p>
          <w:p w:rsidR="00E23BD0" w:rsidRPr="00463F19" w:rsidRDefault="00E23BD0">
            <w:pPr>
              <w:rPr>
                <w:b/>
                <w:sz w:val="16"/>
                <w:szCs w:val="16"/>
              </w:rPr>
            </w:pPr>
          </w:p>
          <w:p w:rsidR="00E23BD0" w:rsidRPr="00463F19" w:rsidRDefault="00E23BD0" w:rsidP="00E23BD0">
            <w:pPr>
              <w:rPr>
                <w:b/>
                <w:sz w:val="14"/>
                <w:szCs w:val="14"/>
              </w:rPr>
            </w:pPr>
            <w:r w:rsidRPr="00463F19">
              <w:rPr>
                <w:b/>
                <w:sz w:val="14"/>
                <w:szCs w:val="14"/>
              </w:rPr>
              <w:t>References:</w:t>
            </w:r>
          </w:p>
          <w:p w:rsidR="00E23BD0" w:rsidRPr="00463F19" w:rsidRDefault="00E23BD0" w:rsidP="00E23BD0">
            <w:pPr>
              <w:rPr>
                <w:sz w:val="14"/>
                <w:szCs w:val="14"/>
              </w:rPr>
            </w:pPr>
            <w:r w:rsidRPr="005B3DE4">
              <w:rPr>
                <w:sz w:val="14"/>
                <w:szCs w:val="14"/>
              </w:rPr>
              <w:t>[1]</w:t>
            </w:r>
            <w:hyperlink r:id="rId9" w:history="1">
              <w:r w:rsidRPr="00463F19">
                <w:rPr>
                  <w:rStyle w:val="Collegamentoipertestuale"/>
                  <w:sz w:val="14"/>
                  <w:szCs w:val="14"/>
                </w:rPr>
                <w:t>https://www.accessdata.fda.gov/drugsatfda_docs/label/2022/761244s000lbl.pdf</w:t>
              </w:r>
            </w:hyperlink>
          </w:p>
          <w:p w:rsidR="00E23BD0" w:rsidRPr="00463F19" w:rsidRDefault="00E23BD0" w:rsidP="00E23BD0">
            <w:pPr>
              <w:rPr>
                <w:sz w:val="14"/>
                <w:szCs w:val="14"/>
              </w:rPr>
            </w:pPr>
            <w:r w:rsidRPr="00463F19">
              <w:rPr>
                <w:sz w:val="14"/>
                <w:szCs w:val="14"/>
              </w:rPr>
              <w:t>[2]</w:t>
            </w:r>
            <w:hyperlink r:id="rId10" w:history="1">
              <w:r w:rsidRPr="00463F19">
                <w:rPr>
                  <w:rStyle w:val="Collegamentoipertestuale"/>
                  <w:sz w:val="14"/>
                  <w:szCs w:val="14"/>
                </w:rPr>
                <w:t>https://www.ema.europa.eu/en/news/meeting-highlights-committee-medicinal-products-human-use-chmp-10-13-october-2022</w:t>
              </w:r>
            </w:hyperlink>
          </w:p>
          <w:p w:rsidR="00E23BD0" w:rsidRPr="00463F19" w:rsidRDefault="00E23BD0" w:rsidP="00E23BD0">
            <w:pPr>
              <w:rPr>
                <w:sz w:val="14"/>
                <w:szCs w:val="14"/>
              </w:rPr>
            </w:pPr>
            <w:r w:rsidRPr="00463F19">
              <w:rPr>
                <w:sz w:val="14"/>
                <w:szCs w:val="14"/>
              </w:rPr>
              <w:t>[3]</w:t>
            </w:r>
            <w:hyperlink r:id="rId11" w:history="1">
              <w:r w:rsidRPr="00463F19">
                <w:rPr>
                  <w:rStyle w:val="Collegamentoipertestuale"/>
                  <w:sz w:val="14"/>
                  <w:szCs w:val="14"/>
                </w:rPr>
                <w:t>https://www.ema.europa.eu/en/documents/smop-initial/chmp-summary-positive-opinion-spevigo_en.pdf</w:t>
              </w:r>
            </w:hyperlink>
          </w:p>
          <w:p w:rsidR="00E23BD0" w:rsidRPr="00463F19" w:rsidRDefault="00E23BD0" w:rsidP="00E23BD0">
            <w:pPr>
              <w:rPr>
                <w:rStyle w:val="Collegamentoipertestuale"/>
                <w:sz w:val="14"/>
                <w:szCs w:val="14"/>
              </w:rPr>
            </w:pPr>
            <w:r w:rsidRPr="00463F19">
              <w:rPr>
                <w:sz w:val="14"/>
                <w:szCs w:val="14"/>
              </w:rPr>
              <w:t>[4]</w:t>
            </w:r>
            <w:hyperlink r:id="rId12" w:history="1">
              <w:r w:rsidRPr="00463F19">
                <w:rPr>
                  <w:rStyle w:val="Collegamentoipertestuale"/>
                  <w:sz w:val="14"/>
                  <w:szCs w:val="14"/>
                </w:rPr>
                <w:t>https://pubmed.ncbi.nlm.nih.gov/34936739/</w:t>
              </w:r>
            </w:hyperlink>
          </w:p>
          <w:p w:rsidR="00811772" w:rsidRPr="00463F19" w:rsidRDefault="00811772" w:rsidP="00E23BD0">
            <w:pPr>
              <w:rPr>
                <w:rStyle w:val="Collegamentoipertestuale"/>
                <w:sz w:val="14"/>
                <w:szCs w:val="14"/>
              </w:rPr>
            </w:pPr>
            <w:r w:rsidRPr="00463F19">
              <w:rPr>
                <w:rStyle w:val="Collegamentoipertestuale"/>
                <w:sz w:val="14"/>
                <w:szCs w:val="14"/>
              </w:rPr>
              <w:t>[5]</w:t>
            </w:r>
            <w:hyperlink r:id="rId13" w:history="1">
              <w:r w:rsidR="00113999" w:rsidRPr="00463F19">
                <w:rPr>
                  <w:rStyle w:val="Collegamentoipertestuale"/>
                  <w:sz w:val="14"/>
                  <w:szCs w:val="14"/>
                </w:rPr>
                <w:t>https://www.drugs.com/price-guide/spevigo</w:t>
              </w:r>
            </w:hyperlink>
          </w:p>
          <w:p w:rsidR="00113999" w:rsidRPr="00463F19" w:rsidRDefault="00113999" w:rsidP="00E23BD0">
            <w:pPr>
              <w:rPr>
                <w:rStyle w:val="Collegamentoipertestuale"/>
                <w:sz w:val="14"/>
                <w:szCs w:val="14"/>
              </w:rPr>
            </w:pPr>
            <w:r w:rsidRPr="00463F19">
              <w:rPr>
                <w:rStyle w:val="Collegamentoipertestuale"/>
                <w:sz w:val="14"/>
                <w:szCs w:val="14"/>
              </w:rPr>
              <w:t>[6]</w:t>
            </w:r>
            <w:hyperlink r:id="rId14" w:history="1">
              <w:r w:rsidRPr="00463F19">
                <w:rPr>
                  <w:rStyle w:val="Collegamentoipertestuale"/>
                  <w:sz w:val="14"/>
                  <w:szCs w:val="14"/>
                </w:rPr>
                <w:t>https://www.orpha.net/consor/cgi-bin/index.php</w:t>
              </w:r>
            </w:hyperlink>
          </w:p>
          <w:p w:rsidR="003B6CDE" w:rsidRPr="00463F19" w:rsidRDefault="003B6CDE" w:rsidP="00E23BD0">
            <w:pPr>
              <w:rPr>
                <w:rStyle w:val="Collegamentoipertestuale"/>
                <w:sz w:val="14"/>
                <w:szCs w:val="14"/>
              </w:rPr>
            </w:pPr>
            <w:r w:rsidRPr="00463F19">
              <w:rPr>
                <w:rStyle w:val="Collegamentoipertestuale"/>
                <w:sz w:val="14"/>
                <w:szCs w:val="14"/>
              </w:rPr>
              <w:t>[7]https://pubmed.ncbi.nlm.nih.gov/35061230/</w:t>
            </w:r>
          </w:p>
          <w:p w:rsidR="00E23BD0" w:rsidRPr="00463F19" w:rsidRDefault="007F3933">
            <w:pPr>
              <w:rPr>
                <w:b/>
                <w:sz w:val="16"/>
                <w:szCs w:val="16"/>
              </w:rPr>
            </w:pPr>
            <w:r w:rsidRPr="00463F19">
              <w:rPr>
                <w:rStyle w:val="Collegamentoipertestuale"/>
                <w:sz w:val="14"/>
                <w:szCs w:val="14"/>
              </w:rPr>
              <w:t xml:space="preserve">[8] </w:t>
            </w:r>
            <w:hyperlink r:id="rId15" w:history="1">
              <w:r w:rsidRPr="00463F19">
                <w:rPr>
                  <w:rStyle w:val="Collegamentoipertestuale"/>
                  <w:sz w:val="14"/>
                  <w:szCs w:val="14"/>
                </w:rPr>
                <w:t>https://clinicaltrials.gov/NCT03482635</w:t>
              </w:r>
            </w:hyperlink>
          </w:p>
          <w:p w:rsidR="00E23BD0" w:rsidRPr="00463F19" w:rsidRDefault="00E23BD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353F4" w:rsidRPr="00463F19" w:rsidRDefault="007C349F" w:rsidP="00195BD9">
            <w:pPr>
              <w:jc w:val="both"/>
              <w:rPr>
                <w:b/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Cost of therapy:</w:t>
            </w:r>
          </w:p>
          <w:p w:rsidR="00492D1C" w:rsidRPr="00463F19" w:rsidRDefault="00811772" w:rsidP="00BB77BB">
            <w:pPr>
              <w:jc w:val="both"/>
              <w:rPr>
                <w:sz w:val="16"/>
                <w:szCs w:val="16"/>
              </w:rPr>
            </w:pPr>
            <w:r w:rsidRPr="00463F19">
              <w:rPr>
                <w:sz w:val="16"/>
                <w:szCs w:val="16"/>
              </w:rPr>
              <w:t xml:space="preserve">The cost for </w:t>
            </w:r>
            <w:proofErr w:type="spellStart"/>
            <w:r w:rsidRPr="00463F19">
              <w:rPr>
                <w:sz w:val="16"/>
                <w:szCs w:val="16"/>
              </w:rPr>
              <w:t>Spesolimab</w:t>
            </w:r>
            <w:proofErr w:type="spellEnd"/>
            <w:r w:rsidRPr="00463F19">
              <w:rPr>
                <w:sz w:val="16"/>
                <w:szCs w:val="16"/>
              </w:rPr>
              <w:t xml:space="preserve"> IV </w:t>
            </w:r>
            <w:r w:rsidR="00492D1C" w:rsidRPr="00463F19">
              <w:rPr>
                <w:sz w:val="16"/>
                <w:szCs w:val="16"/>
              </w:rPr>
              <w:t>solution (450 mg/7.5 mL) is around $53,853 for a supply of 15 milliliters</w:t>
            </w:r>
            <w:r w:rsidRPr="00463F19">
              <w:rPr>
                <w:sz w:val="16"/>
                <w:szCs w:val="16"/>
              </w:rPr>
              <w:t xml:space="preserve"> [5]</w:t>
            </w:r>
            <w:r w:rsidR="00492D1C" w:rsidRPr="00463F19">
              <w:rPr>
                <w:sz w:val="16"/>
                <w:szCs w:val="16"/>
              </w:rPr>
              <w:t>.</w:t>
            </w:r>
          </w:p>
          <w:p w:rsidR="00113999" w:rsidRPr="00463F19" w:rsidRDefault="007C349F" w:rsidP="005B3DE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Epidemiology:</w:t>
            </w:r>
            <w:r w:rsidR="00FA7535" w:rsidRPr="00463F19">
              <w:rPr>
                <w:sz w:val="16"/>
                <w:szCs w:val="16"/>
              </w:rPr>
              <w:t>GPP is a rare disease</w:t>
            </w:r>
            <w:r w:rsidR="00113999" w:rsidRPr="00463F19">
              <w:rPr>
                <w:sz w:val="16"/>
                <w:szCs w:val="16"/>
              </w:rPr>
              <w:t>and its estimated prevalence in Europe is 1-9 / 1 00</w:t>
            </w:r>
            <w:bookmarkStart w:id="0" w:name="_GoBack"/>
            <w:bookmarkEnd w:id="0"/>
            <w:r w:rsidR="00113999" w:rsidRPr="00463F19">
              <w:rPr>
                <w:sz w:val="16"/>
                <w:szCs w:val="16"/>
              </w:rPr>
              <w:t>0 000 [6].</w:t>
            </w:r>
          </w:p>
          <w:p w:rsidR="006353F4" w:rsidRPr="00463F19" w:rsidRDefault="007C349F" w:rsidP="005B3DE4">
            <w:pPr>
              <w:jc w:val="both"/>
              <w:rPr>
                <w:b/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POSSIBLE PLACE IN THERAPY</w:t>
            </w:r>
          </w:p>
          <w:p w:rsidR="006353F4" w:rsidRPr="00463F19" w:rsidRDefault="003B6CDE" w:rsidP="00195BD9">
            <w:pPr>
              <w:jc w:val="both"/>
              <w:rPr>
                <w:sz w:val="16"/>
                <w:szCs w:val="16"/>
              </w:rPr>
            </w:pPr>
            <w:r w:rsidRPr="00463F19">
              <w:rPr>
                <w:sz w:val="16"/>
                <w:szCs w:val="16"/>
              </w:rPr>
              <w:t>There are no GPP specific therapies approved in the USA or EU for the treatment of GPP and management of GPP flares. Based on the NPF Medical Board</w:t>
            </w:r>
            <w:r w:rsidR="009172DA" w:rsidRPr="00463F19">
              <w:rPr>
                <w:sz w:val="16"/>
                <w:szCs w:val="16"/>
              </w:rPr>
              <w:t xml:space="preserve"> guidelines</w:t>
            </w:r>
            <w:r w:rsidRPr="00463F19">
              <w:rPr>
                <w:sz w:val="16"/>
                <w:szCs w:val="16"/>
              </w:rPr>
              <w:t xml:space="preserve">, </w:t>
            </w:r>
            <w:r w:rsidR="009172DA" w:rsidRPr="00463F19">
              <w:rPr>
                <w:sz w:val="16"/>
                <w:szCs w:val="16"/>
              </w:rPr>
              <w:t xml:space="preserve">the most commonly used treatments for pts with GPP are retinoids, cyclosporine and methotrexate. The evidence that supports the using of these therapies is ill-defined and based on small, single-arm studies. </w:t>
            </w:r>
            <w:proofErr w:type="spellStart"/>
            <w:r w:rsidR="009172DA" w:rsidRPr="00463F19">
              <w:rPr>
                <w:sz w:val="16"/>
                <w:szCs w:val="16"/>
              </w:rPr>
              <w:t>Spesolimab</w:t>
            </w:r>
            <w:proofErr w:type="spellEnd"/>
            <w:r w:rsidR="009172DA" w:rsidRPr="00463F19">
              <w:rPr>
                <w:sz w:val="16"/>
                <w:szCs w:val="16"/>
              </w:rPr>
              <w:t xml:space="preserve"> has demonstrated promising efficacy in pts with GPP getting a possible using as a first line </w:t>
            </w:r>
            <w:r w:rsidR="005432D1" w:rsidRPr="00463F19">
              <w:rPr>
                <w:sz w:val="16"/>
                <w:szCs w:val="16"/>
              </w:rPr>
              <w:t>treatment in GPP therapy</w:t>
            </w:r>
            <w:r w:rsidRPr="00463F19">
              <w:rPr>
                <w:sz w:val="16"/>
                <w:szCs w:val="16"/>
              </w:rPr>
              <w:t>[7]</w:t>
            </w:r>
            <w:r w:rsidR="00336678">
              <w:rPr>
                <w:sz w:val="16"/>
                <w:szCs w:val="16"/>
              </w:rPr>
              <w:t>.</w:t>
            </w:r>
          </w:p>
          <w:p w:rsidR="005432D1" w:rsidRPr="00463F19" w:rsidRDefault="005432D1" w:rsidP="00195BD9">
            <w:pPr>
              <w:jc w:val="both"/>
              <w:rPr>
                <w:sz w:val="16"/>
                <w:szCs w:val="16"/>
              </w:rPr>
            </w:pPr>
          </w:p>
          <w:p w:rsidR="006353F4" w:rsidRPr="00463F19" w:rsidRDefault="007C349F" w:rsidP="005B3DE4">
            <w:pPr>
              <w:numPr>
                <w:ilvl w:val="0"/>
                <w:numId w:val="2"/>
              </w:numPr>
              <w:shd w:val="clear" w:color="auto" w:fill="FFFFFF"/>
              <w:spacing w:before="84" w:after="60"/>
              <w:ind w:left="0"/>
              <w:jc w:val="both"/>
              <w:rPr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OTHER INDICATIONS IN DEVELOPMENT</w:t>
            </w:r>
            <w:r w:rsidR="00242C57" w:rsidRPr="00463F19">
              <w:rPr>
                <w:b/>
                <w:sz w:val="16"/>
                <w:szCs w:val="16"/>
              </w:rPr>
              <w:t xml:space="preserve">: </w:t>
            </w:r>
            <w:r w:rsidR="007F3933" w:rsidRPr="00463F19">
              <w:rPr>
                <w:sz w:val="16"/>
                <w:szCs w:val="16"/>
              </w:rPr>
              <w:t xml:space="preserve">Treatment of </w:t>
            </w:r>
            <w:r w:rsidR="00242C57" w:rsidRPr="00463F19">
              <w:rPr>
                <w:sz w:val="16"/>
                <w:szCs w:val="16"/>
              </w:rPr>
              <w:t>ulcerative colitis</w:t>
            </w:r>
            <w:r w:rsidR="007F3933" w:rsidRPr="00463F19">
              <w:rPr>
                <w:sz w:val="16"/>
                <w:szCs w:val="16"/>
              </w:rPr>
              <w:t xml:space="preserve"> in males or females aged 18-75 years</w:t>
            </w:r>
            <w:r w:rsidR="00E4340B" w:rsidRPr="00463F19">
              <w:rPr>
                <w:sz w:val="16"/>
                <w:szCs w:val="16"/>
              </w:rPr>
              <w:t xml:space="preserve"> [8]</w:t>
            </w:r>
            <w:r w:rsidR="007F3933" w:rsidRPr="00463F19">
              <w:rPr>
                <w:sz w:val="16"/>
                <w:szCs w:val="16"/>
              </w:rPr>
              <w:t xml:space="preserve">. </w:t>
            </w:r>
          </w:p>
          <w:p w:rsidR="006353F4" w:rsidRPr="00463F19" w:rsidRDefault="006353F4" w:rsidP="005B3DE4">
            <w:pPr>
              <w:jc w:val="both"/>
              <w:rPr>
                <w:b/>
                <w:sz w:val="16"/>
                <w:szCs w:val="16"/>
              </w:rPr>
            </w:pPr>
          </w:p>
          <w:p w:rsidR="006353F4" w:rsidRPr="00463F19" w:rsidRDefault="007C349F" w:rsidP="005B3DE4">
            <w:pPr>
              <w:jc w:val="both"/>
              <w:rPr>
                <w:b/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>SAME INDICATION IN EARLIER LINE(S) OF TREATMENT:</w:t>
            </w:r>
            <w:r w:rsidR="005432D1" w:rsidRPr="00463F19">
              <w:rPr>
                <w:sz w:val="16"/>
                <w:szCs w:val="16"/>
              </w:rPr>
              <w:t>No</w:t>
            </w:r>
          </w:p>
          <w:p w:rsidR="006353F4" w:rsidRPr="00463F19" w:rsidRDefault="006353F4" w:rsidP="005B3DE4">
            <w:pPr>
              <w:jc w:val="both"/>
              <w:rPr>
                <w:sz w:val="16"/>
                <w:szCs w:val="16"/>
              </w:rPr>
            </w:pPr>
          </w:p>
          <w:p w:rsidR="006353F4" w:rsidRPr="00463F19" w:rsidRDefault="007C349F" w:rsidP="005B3DE4">
            <w:pPr>
              <w:jc w:val="both"/>
              <w:rPr>
                <w:b/>
                <w:sz w:val="16"/>
                <w:szCs w:val="16"/>
              </w:rPr>
            </w:pPr>
            <w:r w:rsidRPr="00463F19">
              <w:rPr>
                <w:b/>
                <w:sz w:val="16"/>
                <w:szCs w:val="16"/>
              </w:rPr>
              <w:t xml:space="preserve">OTHER DRUGS IN DEVELOPMENT for the SAME INDICATION </w:t>
            </w:r>
          </w:p>
          <w:p w:rsidR="005432D1" w:rsidRPr="00463F19" w:rsidRDefault="005432D1" w:rsidP="005B3DE4">
            <w:pPr>
              <w:jc w:val="both"/>
              <w:rPr>
                <w:sz w:val="16"/>
                <w:szCs w:val="16"/>
              </w:rPr>
            </w:pPr>
            <w:proofErr w:type="spellStart"/>
            <w:r w:rsidRPr="00463F19">
              <w:rPr>
                <w:sz w:val="16"/>
                <w:szCs w:val="16"/>
              </w:rPr>
              <w:t>Imsidolimab</w:t>
            </w:r>
            <w:proofErr w:type="spellEnd"/>
            <w:r w:rsidRPr="00463F19">
              <w:rPr>
                <w:sz w:val="16"/>
                <w:szCs w:val="16"/>
              </w:rPr>
              <w:t>, Phase 2</w:t>
            </w:r>
          </w:p>
          <w:p w:rsidR="00665C51" w:rsidRPr="00463F19" w:rsidRDefault="00665C51" w:rsidP="005B3DE4">
            <w:pPr>
              <w:jc w:val="both"/>
              <w:rPr>
                <w:sz w:val="16"/>
                <w:szCs w:val="16"/>
              </w:rPr>
            </w:pPr>
          </w:p>
          <w:p w:rsidR="006353F4" w:rsidRPr="00463F19" w:rsidRDefault="005432D1" w:rsidP="005B3DE4">
            <w:pPr>
              <w:jc w:val="both"/>
              <w:rPr>
                <w:sz w:val="16"/>
                <w:szCs w:val="16"/>
              </w:rPr>
            </w:pPr>
            <w:r w:rsidRPr="00463F19">
              <w:rPr>
                <w:sz w:val="16"/>
                <w:szCs w:val="16"/>
              </w:rPr>
              <w:t>*Service reorganization No</w:t>
            </w:r>
          </w:p>
          <w:p w:rsidR="006353F4" w:rsidRPr="00463F19" w:rsidRDefault="005432D1" w:rsidP="005B3DE4">
            <w:pPr>
              <w:jc w:val="both"/>
              <w:rPr>
                <w:sz w:val="16"/>
                <w:szCs w:val="16"/>
              </w:rPr>
            </w:pPr>
            <w:r w:rsidRPr="00463F19">
              <w:rPr>
                <w:sz w:val="16"/>
                <w:szCs w:val="16"/>
              </w:rPr>
              <w:t>*Possible off label use Yes</w:t>
            </w:r>
          </w:p>
          <w:p w:rsidR="006353F4" w:rsidRPr="00463F19" w:rsidRDefault="006353F4" w:rsidP="005B3DE4">
            <w:pPr>
              <w:jc w:val="both"/>
              <w:rPr>
                <w:sz w:val="16"/>
                <w:szCs w:val="16"/>
              </w:rPr>
            </w:pPr>
          </w:p>
          <w:p w:rsidR="00F6217E" w:rsidRPr="00463F19" w:rsidRDefault="007C349F" w:rsidP="005B3DE4">
            <w:pPr>
              <w:jc w:val="both"/>
              <w:rPr>
                <w:sz w:val="16"/>
                <w:szCs w:val="16"/>
              </w:rPr>
            </w:pPr>
            <w:r w:rsidRPr="00463F19">
              <w:rPr>
                <w:sz w:val="16"/>
                <w:szCs w:val="16"/>
              </w:rPr>
              <w:br/>
            </w:r>
          </w:p>
        </w:tc>
      </w:tr>
    </w:tbl>
    <w:p w:rsidR="006353F4" w:rsidRDefault="006353F4"/>
    <w:sectPr w:rsidR="006353F4" w:rsidSect="005B3DE4">
      <w:footerReference w:type="default" r:id="rId16"/>
      <w:pgSz w:w="16838" w:h="11906" w:orient="landscape"/>
      <w:pgMar w:top="851" w:right="1418" w:bottom="851" w:left="1134" w:header="709" w:footer="57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496D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496DB5" w16cid:durableId="275054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4BE" w:rsidRDefault="009224BE">
      <w:pPr>
        <w:spacing w:after="0" w:line="240" w:lineRule="auto"/>
      </w:pPr>
      <w:r>
        <w:separator/>
      </w:r>
    </w:p>
  </w:endnote>
  <w:endnote w:type="continuationSeparator" w:id="1">
    <w:p w:rsidR="009224BE" w:rsidRDefault="0092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F4" w:rsidRDefault="007C349F">
    <w:pPr>
      <w:jc w:val="right"/>
    </w:pPr>
    <w:r>
      <w:rPr>
        <w:i/>
      </w:rPr>
      <w:t xml:space="preserve">Issued on:  </w:t>
    </w:r>
    <w:r w:rsidR="00023695">
      <w:rPr>
        <w:i/>
      </w:rPr>
      <w:t>7.12.2022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4BE" w:rsidRDefault="009224BE">
      <w:pPr>
        <w:spacing w:after="0" w:line="240" w:lineRule="auto"/>
      </w:pPr>
      <w:r>
        <w:separator/>
      </w:r>
    </w:p>
  </w:footnote>
  <w:footnote w:type="continuationSeparator" w:id="1">
    <w:p w:rsidR="009224BE" w:rsidRDefault="0092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C46"/>
    <w:multiLevelType w:val="multilevel"/>
    <w:tmpl w:val="2A04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57B3E"/>
    <w:multiLevelType w:val="multilevel"/>
    <w:tmpl w:val="759E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83DFC"/>
    <w:multiLevelType w:val="multilevel"/>
    <w:tmpl w:val="66D45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a">
    <w15:presenceInfo w15:providerId="None" w15:userId="Rober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3F4"/>
    <w:rsid w:val="00007DA8"/>
    <w:rsid w:val="00023695"/>
    <w:rsid w:val="00030C06"/>
    <w:rsid w:val="00113999"/>
    <w:rsid w:val="00115BA7"/>
    <w:rsid w:val="00141946"/>
    <w:rsid w:val="00195BD9"/>
    <w:rsid w:val="00242C57"/>
    <w:rsid w:val="002C3FB4"/>
    <w:rsid w:val="00336678"/>
    <w:rsid w:val="00377F70"/>
    <w:rsid w:val="00387284"/>
    <w:rsid w:val="003A21AD"/>
    <w:rsid w:val="003B6CDE"/>
    <w:rsid w:val="003F6F7E"/>
    <w:rsid w:val="00463F19"/>
    <w:rsid w:val="00492D1C"/>
    <w:rsid w:val="00510C41"/>
    <w:rsid w:val="00510C5A"/>
    <w:rsid w:val="00532DED"/>
    <w:rsid w:val="00534893"/>
    <w:rsid w:val="005432D1"/>
    <w:rsid w:val="005545EA"/>
    <w:rsid w:val="005B3DE4"/>
    <w:rsid w:val="005D7AE8"/>
    <w:rsid w:val="006353F4"/>
    <w:rsid w:val="00665C51"/>
    <w:rsid w:val="006E1A74"/>
    <w:rsid w:val="006E6846"/>
    <w:rsid w:val="006F40D0"/>
    <w:rsid w:val="007746D9"/>
    <w:rsid w:val="00786391"/>
    <w:rsid w:val="007C349F"/>
    <w:rsid w:val="007C55AA"/>
    <w:rsid w:val="007F3933"/>
    <w:rsid w:val="00811772"/>
    <w:rsid w:val="00834CDE"/>
    <w:rsid w:val="00837D50"/>
    <w:rsid w:val="009172DA"/>
    <w:rsid w:val="00920BC5"/>
    <w:rsid w:val="009224BE"/>
    <w:rsid w:val="00963AA4"/>
    <w:rsid w:val="00963C4E"/>
    <w:rsid w:val="0099314D"/>
    <w:rsid w:val="009B30A7"/>
    <w:rsid w:val="009C1CBB"/>
    <w:rsid w:val="00A904B5"/>
    <w:rsid w:val="00AF1463"/>
    <w:rsid w:val="00B61C49"/>
    <w:rsid w:val="00BB77BB"/>
    <w:rsid w:val="00C73A7E"/>
    <w:rsid w:val="00CC4CF0"/>
    <w:rsid w:val="00CF405D"/>
    <w:rsid w:val="00E23BD0"/>
    <w:rsid w:val="00E4063B"/>
    <w:rsid w:val="00E4340B"/>
    <w:rsid w:val="00EC7C34"/>
    <w:rsid w:val="00F6217E"/>
    <w:rsid w:val="00FA7535"/>
    <w:rsid w:val="00FD206B"/>
    <w:rsid w:val="00FD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017"/>
  </w:style>
  <w:style w:type="paragraph" w:styleId="Titolo1">
    <w:name w:val="heading 1"/>
    <w:basedOn w:val="Normale1"/>
    <w:next w:val="Normale1"/>
    <w:rsid w:val="00266E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66E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66E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66E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66E5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66E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F6F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66E5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266E57"/>
  </w:style>
  <w:style w:type="table" w:customStyle="1" w:styleId="TableNormal0">
    <w:name w:val="Table Normal"/>
    <w:rsid w:val="00266E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D3C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185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43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Carpredefinitoparagrafo"/>
    <w:rsid w:val="007176C0"/>
  </w:style>
  <w:style w:type="character" w:customStyle="1" w:styleId="hgkelc">
    <w:name w:val="hgkelc"/>
    <w:basedOn w:val="Carpredefinitoparagrafo"/>
    <w:rsid w:val="007176C0"/>
  </w:style>
  <w:style w:type="paragraph" w:styleId="Sottotitolo">
    <w:name w:val="Subtitle"/>
    <w:basedOn w:val="Normale"/>
    <w:next w:val="Normale"/>
    <w:rsid w:val="003F6F7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66E5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3F6F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11399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65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C51"/>
  </w:style>
  <w:style w:type="paragraph" w:styleId="Pidipagina">
    <w:name w:val="footer"/>
    <w:basedOn w:val="Normale"/>
    <w:link w:val="PidipaginaCarattere"/>
    <w:uiPriority w:val="99"/>
    <w:unhideWhenUsed/>
    <w:rsid w:val="00665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C51"/>
  </w:style>
  <w:style w:type="character" w:styleId="Rimandocommento">
    <w:name w:val="annotation reference"/>
    <w:basedOn w:val="Carpredefinitoparagrafo"/>
    <w:uiPriority w:val="99"/>
    <w:semiHidden/>
    <w:unhideWhenUsed/>
    <w:rsid w:val="00336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66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66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6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67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017"/>
  </w:style>
  <w:style w:type="paragraph" w:styleId="Titolo1">
    <w:name w:val="heading 1"/>
    <w:basedOn w:val="Normale1"/>
    <w:next w:val="Normale1"/>
    <w:rsid w:val="00266E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66E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66E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66E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66E5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66E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66E5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266E57"/>
  </w:style>
  <w:style w:type="table" w:customStyle="1" w:styleId="TableNormal0">
    <w:name w:val="Table Normal"/>
    <w:rsid w:val="00266E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D3C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185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43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opre">
    <w:name w:val="acopre"/>
    <w:basedOn w:val="Carpredefinitoparagrafo"/>
    <w:rsid w:val="007176C0"/>
  </w:style>
  <w:style w:type="character" w:customStyle="1" w:styleId="hgkelc">
    <w:name w:val="hgkelc"/>
    <w:basedOn w:val="Carpredefinitoparagrafo"/>
    <w:rsid w:val="007176C0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66E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11399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65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C51"/>
  </w:style>
  <w:style w:type="paragraph" w:styleId="Pidipagina">
    <w:name w:val="footer"/>
    <w:basedOn w:val="Normale"/>
    <w:link w:val="PidipaginaCarattere"/>
    <w:uiPriority w:val="99"/>
    <w:unhideWhenUsed/>
    <w:rsid w:val="00665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C51"/>
  </w:style>
  <w:style w:type="character" w:styleId="Rimandocommento">
    <w:name w:val="annotation reference"/>
    <w:basedOn w:val="Carpredefinitoparagrafo"/>
    <w:uiPriority w:val="99"/>
    <w:semiHidden/>
    <w:unhideWhenUsed/>
    <w:rsid w:val="00336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66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66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6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67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rugs.com/price-guide/spevigo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pubmed.ncbi.nlm.nih.gov/34936739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ma.europa.eu/en/documents/smop-initial/chmp-summary-positive-opinion-spevigo_en.pdf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clinicaltrials.gov/NCT03482635" TargetMode="External"/><Relationship Id="rId23" Type="http://schemas.microsoft.com/office/2011/relationships/people" Target="people.xml"/><Relationship Id="rId10" Type="http://schemas.openxmlformats.org/officeDocument/2006/relationships/hyperlink" Target="https://www.ema.europa.eu/en/news/meeting-highlights-committee-medicinal-products-human-use-chmp-10-13-october-202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ccessdata.fda.gov/drugsatfda_docs/label/2022/761244s000lbl.pdf" TargetMode="External"/><Relationship Id="rId14" Type="http://schemas.openxmlformats.org/officeDocument/2006/relationships/hyperlink" Target="https://www.orpha.net/consor/cgi-bin/index.ph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zrLJ4g3zk/uKNVViHpLOm/gMg==">AMUW2mVzkOeG2tZPFfUocNVAk/ez36qa35ZnEBuxcqibbx3Qzg4LEIYOlzzC86MyjgkpEtPgvsGwJuU561uJ1YmF1IlTCGopdhgagUlne4BeCmGEfS6+ljY=</go:docsCustomData>
</go:gDocsCustomXmlDataStorage>
</file>

<file path=customXml/itemProps1.xml><?xml version="1.0" encoding="utf-8"?>
<ds:datastoreItem xmlns:ds="http://schemas.openxmlformats.org/officeDocument/2006/customXml" ds:itemID="{CE602BEF-5655-4F0B-9137-D46305736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francesca.schmid</dc:creator>
  <cp:lastModifiedBy>ut9bor006</cp:lastModifiedBy>
  <cp:revision>6</cp:revision>
  <cp:lastPrinted>2022-12-27T15:04:00Z</cp:lastPrinted>
  <dcterms:created xsi:type="dcterms:W3CDTF">2022-12-23T15:27:00Z</dcterms:created>
  <dcterms:modified xsi:type="dcterms:W3CDTF">2023-01-25T09:40:00Z</dcterms:modified>
</cp:coreProperties>
</file>