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F5" w:rsidRDefault="00190DBE">
      <w:pPr>
        <w:rPr>
          <w:b/>
          <w:sz w:val="44"/>
          <w:szCs w:val="44"/>
        </w:rPr>
      </w:pPr>
      <w:r>
        <w:rPr>
          <w:b/>
          <w:sz w:val="44"/>
          <w:szCs w:val="44"/>
        </w:rPr>
        <w:t xml:space="preserve">Report </w:t>
      </w:r>
      <w:proofErr w:type="spellStart"/>
      <w:r w:rsidR="006A5B3E" w:rsidRPr="00424D89">
        <w:rPr>
          <w:b/>
          <w:sz w:val="44"/>
          <w:szCs w:val="44"/>
        </w:rPr>
        <w:t>Libtayo</w:t>
      </w:r>
      <w:proofErr w:type="spellEnd"/>
      <w:r w:rsidR="006A5B3E">
        <w:rPr>
          <w:b/>
          <w:sz w:val="44"/>
          <w:szCs w:val="44"/>
        </w:rPr>
        <w:t xml:space="preserve">®- </w:t>
      </w:r>
      <w:proofErr w:type="spellStart"/>
      <w:r w:rsidR="00424D89" w:rsidRPr="00424D89">
        <w:rPr>
          <w:b/>
          <w:sz w:val="44"/>
          <w:szCs w:val="44"/>
        </w:rPr>
        <w:t>cemiplimab</w:t>
      </w:r>
      <w:proofErr w:type="spellEnd"/>
      <w:r w:rsidR="00424D89">
        <w:rPr>
          <w:b/>
          <w:sz w:val="44"/>
          <w:szCs w:val="44"/>
        </w:rPr>
        <w:t xml:space="preserve"> </w:t>
      </w:r>
    </w:p>
    <w:tbl>
      <w:tblPr>
        <w:tblStyle w:val="a0"/>
        <w:tblW w:w="159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1984"/>
        <w:gridCol w:w="7658"/>
        <w:gridCol w:w="4230"/>
      </w:tblGrid>
      <w:tr w:rsidR="00DC42F5" w:rsidTr="00653EE7">
        <w:tc>
          <w:tcPr>
            <w:tcW w:w="2127" w:type="dxa"/>
            <w:shd w:val="clear" w:color="auto" w:fill="D9D9D9"/>
          </w:tcPr>
          <w:p w:rsidR="00DC42F5" w:rsidRDefault="00190DBE">
            <w:pPr>
              <w:jc w:val="center"/>
              <w:rPr>
                <w:b/>
                <w:sz w:val="24"/>
                <w:szCs w:val="24"/>
              </w:rPr>
            </w:pPr>
            <w:r>
              <w:rPr>
                <w:b/>
                <w:sz w:val="24"/>
                <w:szCs w:val="24"/>
              </w:rPr>
              <w:t>Product &amp;</w:t>
            </w:r>
          </w:p>
          <w:p w:rsidR="00DC42F5" w:rsidRDefault="00190DBE">
            <w:pPr>
              <w:jc w:val="center"/>
              <w:rPr>
                <w:b/>
                <w:sz w:val="24"/>
                <w:szCs w:val="24"/>
              </w:rPr>
            </w:pPr>
            <w:r>
              <w:rPr>
                <w:b/>
                <w:sz w:val="24"/>
                <w:szCs w:val="24"/>
              </w:rPr>
              <w:t>Mechanism of action</w:t>
            </w:r>
          </w:p>
        </w:tc>
        <w:tc>
          <w:tcPr>
            <w:tcW w:w="1984" w:type="dxa"/>
            <w:shd w:val="clear" w:color="auto" w:fill="D9D9D9"/>
          </w:tcPr>
          <w:p w:rsidR="00DC42F5" w:rsidRDefault="00190DBE">
            <w:pPr>
              <w:jc w:val="center"/>
              <w:rPr>
                <w:b/>
                <w:sz w:val="24"/>
                <w:szCs w:val="24"/>
              </w:rPr>
            </w:pPr>
            <w:r>
              <w:rPr>
                <w:b/>
                <w:sz w:val="24"/>
                <w:szCs w:val="24"/>
              </w:rPr>
              <w:t>Authorized indications</w:t>
            </w:r>
          </w:p>
          <w:p w:rsidR="00DC42F5" w:rsidRDefault="00190DBE">
            <w:pPr>
              <w:jc w:val="center"/>
              <w:rPr>
                <w:b/>
                <w:sz w:val="24"/>
                <w:szCs w:val="24"/>
              </w:rPr>
            </w:pPr>
            <w:r>
              <w:rPr>
                <w:b/>
                <w:sz w:val="24"/>
                <w:szCs w:val="24"/>
              </w:rPr>
              <w:t>Licensing status</w:t>
            </w:r>
          </w:p>
        </w:tc>
        <w:tc>
          <w:tcPr>
            <w:tcW w:w="7658" w:type="dxa"/>
            <w:shd w:val="clear" w:color="auto" w:fill="D9D9D9"/>
          </w:tcPr>
          <w:p w:rsidR="00DC42F5" w:rsidRDefault="00190DBE">
            <w:pPr>
              <w:jc w:val="center"/>
              <w:rPr>
                <w:b/>
                <w:sz w:val="24"/>
                <w:szCs w:val="24"/>
              </w:rPr>
            </w:pPr>
            <w:r>
              <w:rPr>
                <w:b/>
                <w:sz w:val="24"/>
                <w:szCs w:val="24"/>
              </w:rPr>
              <w:t>Essential therapeutic features</w:t>
            </w:r>
          </w:p>
        </w:tc>
        <w:tc>
          <w:tcPr>
            <w:tcW w:w="4230" w:type="dxa"/>
            <w:shd w:val="clear" w:color="auto" w:fill="D9D9D9"/>
          </w:tcPr>
          <w:p w:rsidR="00DC42F5" w:rsidRDefault="00190DBE">
            <w:pPr>
              <w:jc w:val="center"/>
              <w:rPr>
                <w:b/>
                <w:sz w:val="24"/>
                <w:szCs w:val="24"/>
              </w:rPr>
            </w:pPr>
            <w:r>
              <w:rPr>
                <w:b/>
                <w:sz w:val="24"/>
                <w:szCs w:val="24"/>
              </w:rPr>
              <w:t>NHS impact</w:t>
            </w:r>
          </w:p>
        </w:tc>
      </w:tr>
      <w:tr w:rsidR="00DC42F5" w:rsidRPr="00653EE7" w:rsidTr="00653EE7">
        <w:trPr>
          <w:trHeight w:val="6249"/>
        </w:trPr>
        <w:tc>
          <w:tcPr>
            <w:tcW w:w="2127" w:type="dxa"/>
          </w:tcPr>
          <w:p w:rsidR="00DC42F5" w:rsidRPr="00653EE7" w:rsidRDefault="00190DBE">
            <w:pPr>
              <w:rPr>
                <w:sz w:val="14"/>
                <w:szCs w:val="14"/>
              </w:rPr>
            </w:pPr>
            <w:r w:rsidRPr="00653EE7">
              <w:rPr>
                <w:b/>
                <w:sz w:val="14"/>
                <w:szCs w:val="14"/>
              </w:rPr>
              <w:t>Substance:</w:t>
            </w:r>
            <w:r w:rsidR="00CB1169" w:rsidRPr="00653EE7">
              <w:rPr>
                <w:b/>
                <w:sz w:val="14"/>
                <w:szCs w:val="14"/>
              </w:rPr>
              <w:t xml:space="preserve"> </w:t>
            </w:r>
            <w:proofErr w:type="spellStart"/>
            <w:r w:rsidR="00424D89" w:rsidRPr="00653EE7">
              <w:rPr>
                <w:sz w:val="14"/>
                <w:szCs w:val="14"/>
              </w:rPr>
              <w:t>cemiplimab</w:t>
            </w:r>
            <w:proofErr w:type="spellEnd"/>
          </w:p>
          <w:p w:rsidR="00DC42F5" w:rsidRPr="00653EE7" w:rsidRDefault="00DC42F5">
            <w:pPr>
              <w:rPr>
                <w:sz w:val="14"/>
                <w:szCs w:val="14"/>
              </w:rPr>
            </w:pPr>
          </w:p>
          <w:p w:rsidR="00DC42F5" w:rsidRPr="00653EE7" w:rsidRDefault="00190DBE">
            <w:pPr>
              <w:rPr>
                <w:sz w:val="14"/>
                <w:szCs w:val="14"/>
              </w:rPr>
            </w:pPr>
            <w:r w:rsidRPr="00653EE7">
              <w:rPr>
                <w:b/>
                <w:sz w:val="14"/>
                <w:szCs w:val="14"/>
              </w:rPr>
              <w:t>Brand Name:</w:t>
            </w:r>
            <w:r w:rsidR="00CB1169" w:rsidRPr="00653EE7">
              <w:rPr>
                <w:b/>
                <w:sz w:val="14"/>
                <w:szCs w:val="14"/>
              </w:rPr>
              <w:t xml:space="preserve"> </w:t>
            </w:r>
            <w:proofErr w:type="spellStart"/>
            <w:r w:rsidR="00424D89" w:rsidRPr="00653EE7">
              <w:rPr>
                <w:sz w:val="14"/>
                <w:szCs w:val="14"/>
              </w:rPr>
              <w:t>Libtayo</w:t>
            </w:r>
            <w:proofErr w:type="spellEnd"/>
          </w:p>
          <w:p w:rsidR="00DC42F5" w:rsidRPr="00653EE7" w:rsidRDefault="00DC42F5">
            <w:pPr>
              <w:rPr>
                <w:b/>
                <w:sz w:val="14"/>
                <w:szCs w:val="14"/>
              </w:rPr>
            </w:pPr>
          </w:p>
          <w:p w:rsidR="00DC42F5" w:rsidRPr="00653EE7" w:rsidRDefault="00190DBE">
            <w:pPr>
              <w:rPr>
                <w:b/>
                <w:sz w:val="14"/>
                <w:szCs w:val="14"/>
              </w:rPr>
            </w:pPr>
            <w:r w:rsidRPr="00653EE7">
              <w:rPr>
                <w:b/>
                <w:sz w:val="14"/>
                <w:szCs w:val="14"/>
              </w:rPr>
              <w:t>Originator/licensee:</w:t>
            </w:r>
            <w:r w:rsidR="00CB1169" w:rsidRPr="00653EE7">
              <w:rPr>
                <w:b/>
                <w:sz w:val="14"/>
                <w:szCs w:val="14"/>
              </w:rPr>
              <w:t xml:space="preserve"> </w:t>
            </w:r>
            <w:proofErr w:type="spellStart"/>
            <w:r w:rsidR="00424D89" w:rsidRPr="00653EE7">
              <w:rPr>
                <w:sz w:val="14"/>
                <w:szCs w:val="14"/>
              </w:rPr>
              <w:t>Regeneron</w:t>
            </w:r>
            <w:proofErr w:type="spellEnd"/>
            <w:r w:rsidR="00424D89" w:rsidRPr="00653EE7">
              <w:rPr>
                <w:sz w:val="14"/>
                <w:szCs w:val="14"/>
              </w:rPr>
              <w:t xml:space="preserve"> Ireland Designated Activity Company (DAC)</w:t>
            </w:r>
          </w:p>
          <w:p w:rsidR="00DC42F5" w:rsidRPr="00653EE7" w:rsidRDefault="00DC42F5">
            <w:pPr>
              <w:rPr>
                <w:b/>
                <w:sz w:val="14"/>
                <w:szCs w:val="14"/>
              </w:rPr>
            </w:pPr>
          </w:p>
          <w:p w:rsidR="00DC42F5" w:rsidRPr="00653EE7" w:rsidRDefault="00190DBE">
            <w:pPr>
              <w:rPr>
                <w:sz w:val="14"/>
                <w:szCs w:val="14"/>
              </w:rPr>
            </w:pPr>
            <w:r w:rsidRPr="00653EE7">
              <w:rPr>
                <w:b/>
                <w:sz w:val="14"/>
                <w:szCs w:val="14"/>
              </w:rPr>
              <w:t xml:space="preserve">Classification: </w:t>
            </w:r>
            <w:r w:rsidR="00424D89" w:rsidRPr="00653EE7">
              <w:rPr>
                <w:sz w:val="14"/>
                <w:szCs w:val="14"/>
              </w:rPr>
              <w:t>NI</w:t>
            </w:r>
          </w:p>
          <w:p w:rsidR="00DC42F5" w:rsidRPr="00653EE7" w:rsidRDefault="00DC42F5">
            <w:pPr>
              <w:rPr>
                <w:b/>
                <w:sz w:val="14"/>
                <w:szCs w:val="14"/>
              </w:rPr>
            </w:pPr>
          </w:p>
          <w:p w:rsidR="00DC42F5" w:rsidRPr="00653EE7" w:rsidRDefault="00190DBE">
            <w:pPr>
              <w:rPr>
                <w:sz w:val="14"/>
                <w:szCs w:val="14"/>
              </w:rPr>
            </w:pPr>
            <w:r w:rsidRPr="00653EE7">
              <w:rPr>
                <w:b/>
                <w:sz w:val="14"/>
                <w:szCs w:val="14"/>
              </w:rPr>
              <w:t xml:space="preserve">ATC code: </w:t>
            </w:r>
            <w:r w:rsidR="00424D89" w:rsidRPr="00653EE7">
              <w:rPr>
                <w:sz w:val="14"/>
                <w:szCs w:val="14"/>
              </w:rPr>
              <w:t>L01XC33</w:t>
            </w:r>
          </w:p>
          <w:p w:rsidR="00DC42F5" w:rsidRPr="00653EE7" w:rsidRDefault="00DC42F5">
            <w:pPr>
              <w:rPr>
                <w:sz w:val="14"/>
                <w:szCs w:val="14"/>
              </w:rPr>
            </w:pPr>
          </w:p>
          <w:p w:rsidR="00DC42F5" w:rsidRPr="00653EE7" w:rsidRDefault="00190DBE">
            <w:pPr>
              <w:rPr>
                <w:b/>
                <w:sz w:val="14"/>
                <w:szCs w:val="14"/>
              </w:rPr>
            </w:pPr>
            <w:r w:rsidRPr="00653EE7">
              <w:rPr>
                <w:b/>
                <w:sz w:val="14"/>
                <w:szCs w:val="14"/>
              </w:rPr>
              <w:t>Orphan Status:</w:t>
            </w:r>
          </w:p>
          <w:p w:rsidR="00DC42F5" w:rsidRPr="00653EE7" w:rsidRDefault="00190DBE">
            <w:pPr>
              <w:rPr>
                <w:sz w:val="14"/>
                <w:szCs w:val="14"/>
              </w:rPr>
            </w:pPr>
            <w:proofErr w:type="spellStart"/>
            <w:r w:rsidRPr="00653EE7">
              <w:rPr>
                <w:b/>
                <w:sz w:val="14"/>
                <w:szCs w:val="14"/>
              </w:rPr>
              <w:t>Eu</w:t>
            </w:r>
            <w:proofErr w:type="spellEnd"/>
            <w:r w:rsidRPr="00653EE7">
              <w:rPr>
                <w:b/>
                <w:sz w:val="14"/>
                <w:szCs w:val="14"/>
              </w:rPr>
              <w:t xml:space="preserve">: </w:t>
            </w:r>
            <w:r w:rsidR="00424D89" w:rsidRPr="00653EE7">
              <w:rPr>
                <w:sz w:val="14"/>
                <w:szCs w:val="14"/>
              </w:rPr>
              <w:t>No</w:t>
            </w:r>
          </w:p>
          <w:p w:rsidR="00DC42F5" w:rsidRPr="00653EE7" w:rsidRDefault="00190DBE">
            <w:pPr>
              <w:rPr>
                <w:sz w:val="14"/>
                <w:szCs w:val="14"/>
              </w:rPr>
            </w:pPr>
            <w:r w:rsidRPr="00653EE7">
              <w:rPr>
                <w:b/>
                <w:sz w:val="14"/>
                <w:szCs w:val="14"/>
              </w:rPr>
              <w:t xml:space="preserve">Us: </w:t>
            </w:r>
            <w:r w:rsidR="00424D89" w:rsidRPr="00653EE7">
              <w:rPr>
                <w:sz w:val="14"/>
                <w:szCs w:val="14"/>
              </w:rPr>
              <w:t>No</w:t>
            </w:r>
          </w:p>
          <w:p w:rsidR="00DC42F5" w:rsidRPr="00653EE7" w:rsidRDefault="00DC42F5">
            <w:pPr>
              <w:rPr>
                <w:b/>
                <w:sz w:val="14"/>
                <w:szCs w:val="14"/>
              </w:rPr>
            </w:pPr>
          </w:p>
          <w:p w:rsidR="00DC42F5" w:rsidRPr="00653EE7" w:rsidRDefault="00190DBE">
            <w:pPr>
              <w:rPr>
                <w:sz w:val="14"/>
                <w:szCs w:val="14"/>
              </w:rPr>
            </w:pPr>
            <w:r w:rsidRPr="00653EE7">
              <w:rPr>
                <w:b/>
                <w:sz w:val="14"/>
                <w:szCs w:val="14"/>
              </w:rPr>
              <w:t xml:space="preserve">Mechanism of action: </w:t>
            </w:r>
          </w:p>
          <w:p w:rsidR="00DC42F5" w:rsidRPr="00653EE7" w:rsidRDefault="001E31CC">
            <w:pPr>
              <w:jc w:val="both"/>
              <w:rPr>
                <w:sz w:val="14"/>
                <w:szCs w:val="14"/>
              </w:rPr>
            </w:pPr>
            <w:proofErr w:type="spellStart"/>
            <w:r w:rsidRPr="00653EE7">
              <w:rPr>
                <w:sz w:val="14"/>
                <w:szCs w:val="14"/>
              </w:rPr>
              <w:t>cemiplimab</w:t>
            </w:r>
            <w:proofErr w:type="spellEnd"/>
            <w:r w:rsidR="00424D89" w:rsidRPr="00653EE7">
              <w:rPr>
                <w:sz w:val="14"/>
                <w:szCs w:val="14"/>
              </w:rPr>
              <w:t xml:space="preserve"> is a monoclonal antibody, a type of protein that has been designed to </w:t>
            </w:r>
            <w:proofErr w:type="spellStart"/>
            <w:r w:rsidR="00424D89" w:rsidRPr="00653EE7">
              <w:rPr>
                <w:sz w:val="14"/>
                <w:szCs w:val="14"/>
              </w:rPr>
              <w:t>recognise</w:t>
            </w:r>
            <w:proofErr w:type="spellEnd"/>
            <w:r w:rsidR="00424D89" w:rsidRPr="00653EE7">
              <w:rPr>
                <w:sz w:val="14"/>
                <w:szCs w:val="14"/>
              </w:rPr>
              <w:t xml:space="preserve"> and attach to a receptor (target) called PD-1 found on certain cells of the immune system called T cells. Cancer cells can make proteins (PD-L1 and PD-L2) that attach to this receptor and switch off the activity of the T cells, preventing them from attacking the cancer. By attaching to the receptor, </w:t>
            </w:r>
            <w:proofErr w:type="spellStart"/>
            <w:r w:rsidR="00424D89" w:rsidRPr="00653EE7">
              <w:rPr>
                <w:sz w:val="14"/>
                <w:szCs w:val="14"/>
              </w:rPr>
              <w:t>cemiplimab</w:t>
            </w:r>
            <w:proofErr w:type="spellEnd"/>
            <w:r w:rsidR="00424D89" w:rsidRPr="00653EE7">
              <w:rPr>
                <w:sz w:val="14"/>
                <w:szCs w:val="14"/>
              </w:rPr>
              <w:t xml:space="preserve"> prevents PD-L1 and PD-L2 from switching off the T cells, thereby increasing the ability of the imm</w:t>
            </w:r>
            <w:r w:rsidRPr="00653EE7">
              <w:rPr>
                <w:sz w:val="14"/>
                <w:szCs w:val="14"/>
              </w:rPr>
              <w:t xml:space="preserve">une system to kill cancer cells [1]. </w:t>
            </w:r>
          </w:p>
        </w:tc>
        <w:tc>
          <w:tcPr>
            <w:tcW w:w="1984" w:type="dxa"/>
          </w:tcPr>
          <w:p w:rsidR="00DC42F5" w:rsidRPr="00653EE7" w:rsidRDefault="00190DBE" w:rsidP="00653EE7">
            <w:pPr>
              <w:jc w:val="both"/>
              <w:rPr>
                <w:b/>
                <w:sz w:val="14"/>
                <w:szCs w:val="14"/>
              </w:rPr>
            </w:pPr>
            <w:r w:rsidRPr="00653EE7">
              <w:rPr>
                <w:b/>
                <w:sz w:val="14"/>
                <w:szCs w:val="14"/>
              </w:rPr>
              <w:t xml:space="preserve">Authorized Indication: </w:t>
            </w:r>
          </w:p>
          <w:p w:rsidR="00DC42F5" w:rsidRPr="00653EE7" w:rsidRDefault="00190DBE" w:rsidP="00653EE7">
            <w:pPr>
              <w:jc w:val="both"/>
              <w:rPr>
                <w:sz w:val="14"/>
                <w:szCs w:val="14"/>
              </w:rPr>
            </w:pPr>
            <w:r w:rsidRPr="00653EE7">
              <w:rPr>
                <w:b/>
                <w:sz w:val="14"/>
                <w:szCs w:val="14"/>
              </w:rPr>
              <w:t xml:space="preserve">EMA: </w:t>
            </w:r>
            <w:proofErr w:type="spellStart"/>
            <w:r w:rsidR="001E31CC" w:rsidRPr="00653EE7">
              <w:rPr>
                <w:sz w:val="14"/>
                <w:szCs w:val="14"/>
              </w:rPr>
              <w:t>cemiplimab</w:t>
            </w:r>
            <w:r w:rsidR="001E31CC" w:rsidRPr="00653EE7">
              <w:rPr>
                <w:bCs/>
                <w:sz w:val="14"/>
                <w:szCs w:val="14"/>
              </w:rPr>
              <w:t>as</w:t>
            </w:r>
            <w:proofErr w:type="spellEnd"/>
            <w:r w:rsidR="001E31CC" w:rsidRPr="00653EE7">
              <w:rPr>
                <w:bCs/>
                <w:sz w:val="14"/>
                <w:szCs w:val="14"/>
              </w:rPr>
              <w:t xml:space="preserve"> </w:t>
            </w:r>
            <w:proofErr w:type="spellStart"/>
            <w:r w:rsidR="001E31CC" w:rsidRPr="00653EE7">
              <w:rPr>
                <w:bCs/>
                <w:sz w:val="14"/>
                <w:szCs w:val="14"/>
              </w:rPr>
              <w:t>monotherapy</w:t>
            </w:r>
            <w:proofErr w:type="spellEnd"/>
            <w:r w:rsidR="001E31CC" w:rsidRPr="00653EE7">
              <w:rPr>
                <w:bCs/>
                <w:sz w:val="14"/>
                <w:szCs w:val="14"/>
              </w:rPr>
              <w:t xml:space="preserve"> is indicated for the treatment of adult patients with recurrent or metastatic cervical cancer and disease progression on or after platinum-based chemotherapy [1]. </w:t>
            </w:r>
          </w:p>
          <w:p w:rsidR="00DC42F5" w:rsidRPr="00653EE7" w:rsidRDefault="00DC42F5" w:rsidP="00653EE7">
            <w:pPr>
              <w:jc w:val="both"/>
              <w:rPr>
                <w:sz w:val="14"/>
                <w:szCs w:val="14"/>
              </w:rPr>
            </w:pPr>
          </w:p>
          <w:p w:rsidR="00DC42F5" w:rsidRPr="00653EE7" w:rsidRDefault="00190DBE" w:rsidP="00653EE7">
            <w:pPr>
              <w:jc w:val="both"/>
              <w:rPr>
                <w:sz w:val="14"/>
                <w:szCs w:val="14"/>
              </w:rPr>
            </w:pPr>
            <w:r w:rsidRPr="00653EE7">
              <w:rPr>
                <w:b/>
                <w:sz w:val="14"/>
                <w:szCs w:val="14"/>
              </w:rPr>
              <w:t xml:space="preserve">Route of administration: </w:t>
            </w:r>
            <w:r w:rsidR="001E31CC" w:rsidRPr="00653EE7">
              <w:rPr>
                <w:sz w:val="14"/>
                <w:szCs w:val="14"/>
              </w:rPr>
              <w:t>iv</w:t>
            </w:r>
          </w:p>
          <w:p w:rsidR="00DC42F5" w:rsidRPr="00653EE7" w:rsidRDefault="00DC42F5" w:rsidP="00653EE7">
            <w:pPr>
              <w:jc w:val="both"/>
              <w:rPr>
                <w:b/>
                <w:sz w:val="14"/>
                <w:szCs w:val="14"/>
              </w:rPr>
            </w:pPr>
          </w:p>
          <w:p w:rsidR="00DC42F5" w:rsidRPr="00653EE7" w:rsidRDefault="00190DBE" w:rsidP="00653EE7">
            <w:pPr>
              <w:jc w:val="both"/>
              <w:rPr>
                <w:b/>
                <w:sz w:val="14"/>
                <w:szCs w:val="14"/>
              </w:rPr>
            </w:pPr>
            <w:r w:rsidRPr="00653EE7">
              <w:rPr>
                <w:b/>
                <w:sz w:val="14"/>
                <w:szCs w:val="14"/>
              </w:rPr>
              <w:t>Licensing status</w:t>
            </w:r>
          </w:p>
          <w:p w:rsidR="00653EE7" w:rsidRPr="00653EE7" w:rsidRDefault="00190DBE" w:rsidP="00653EE7">
            <w:pPr>
              <w:jc w:val="both"/>
              <w:rPr>
                <w:b/>
                <w:sz w:val="14"/>
                <w:szCs w:val="14"/>
              </w:rPr>
            </w:pPr>
            <w:r w:rsidRPr="00653EE7">
              <w:rPr>
                <w:b/>
                <w:sz w:val="14"/>
                <w:szCs w:val="14"/>
              </w:rPr>
              <w:t xml:space="preserve">EU CHMP P.O. date: </w:t>
            </w:r>
          </w:p>
          <w:p w:rsidR="00DC42F5" w:rsidRPr="00653EE7" w:rsidRDefault="001E31CC" w:rsidP="00653EE7">
            <w:pPr>
              <w:jc w:val="both"/>
              <w:rPr>
                <w:sz w:val="14"/>
                <w:szCs w:val="14"/>
              </w:rPr>
            </w:pPr>
            <w:r w:rsidRPr="00653EE7">
              <w:rPr>
                <w:sz w:val="14"/>
                <w:szCs w:val="14"/>
              </w:rPr>
              <w:t>13/10/2022</w:t>
            </w:r>
            <w:r w:rsidR="00190DBE" w:rsidRPr="00653EE7">
              <w:rPr>
                <w:sz w:val="14"/>
                <w:szCs w:val="14"/>
              </w:rPr>
              <w:br/>
            </w:r>
            <w:r w:rsidR="00190DBE" w:rsidRPr="00653EE7">
              <w:rPr>
                <w:b/>
                <w:sz w:val="14"/>
                <w:szCs w:val="14"/>
              </w:rPr>
              <w:t xml:space="preserve">FDA M.A. date: </w:t>
            </w:r>
            <w:r w:rsidRPr="00653EE7">
              <w:rPr>
                <w:sz w:val="14"/>
                <w:szCs w:val="14"/>
              </w:rPr>
              <w:t>/</w:t>
            </w:r>
          </w:p>
          <w:p w:rsidR="00DC42F5" w:rsidRPr="00653EE7" w:rsidRDefault="00DC42F5" w:rsidP="00653EE7">
            <w:pPr>
              <w:jc w:val="both"/>
              <w:rPr>
                <w:b/>
                <w:sz w:val="14"/>
                <w:szCs w:val="14"/>
              </w:rPr>
            </w:pPr>
          </w:p>
          <w:p w:rsidR="00653EE7" w:rsidRPr="00653EE7" w:rsidRDefault="00190DBE" w:rsidP="00653EE7">
            <w:pPr>
              <w:jc w:val="both"/>
              <w:rPr>
                <w:b/>
                <w:sz w:val="14"/>
                <w:szCs w:val="14"/>
              </w:rPr>
            </w:pPr>
            <w:r w:rsidRPr="00653EE7">
              <w:rPr>
                <w:b/>
                <w:sz w:val="14"/>
                <w:szCs w:val="14"/>
              </w:rPr>
              <w:t>EU Speed Approval Pathway:</w:t>
            </w:r>
          </w:p>
          <w:p w:rsidR="00DC42F5" w:rsidRPr="00653EE7" w:rsidRDefault="001E31CC" w:rsidP="00653EE7">
            <w:pPr>
              <w:jc w:val="both"/>
              <w:rPr>
                <w:sz w:val="14"/>
                <w:szCs w:val="14"/>
              </w:rPr>
            </w:pPr>
            <w:r w:rsidRPr="00653EE7">
              <w:rPr>
                <w:sz w:val="14"/>
                <w:szCs w:val="14"/>
              </w:rPr>
              <w:t>No</w:t>
            </w:r>
            <w:r w:rsidR="00190DBE" w:rsidRPr="00653EE7">
              <w:rPr>
                <w:sz w:val="14"/>
                <w:szCs w:val="14"/>
              </w:rPr>
              <w:br/>
            </w:r>
            <w:r w:rsidR="00190DBE" w:rsidRPr="00653EE7">
              <w:rPr>
                <w:b/>
                <w:sz w:val="14"/>
                <w:szCs w:val="14"/>
              </w:rPr>
              <w:t xml:space="preserve">FDA Speed Approval Pathway: </w:t>
            </w:r>
            <w:r w:rsidRPr="00653EE7">
              <w:rPr>
                <w:sz w:val="14"/>
                <w:szCs w:val="14"/>
              </w:rPr>
              <w:t>/</w:t>
            </w:r>
          </w:p>
          <w:p w:rsidR="00DC42F5" w:rsidRPr="00653EE7" w:rsidRDefault="00190DBE" w:rsidP="00653EE7">
            <w:pPr>
              <w:jc w:val="both"/>
              <w:rPr>
                <w:b/>
                <w:sz w:val="14"/>
                <w:szCs w:val="14"/>
              </w:rPr>
            </w:pPr>
            <w:r w:rsidRPr="00653EE7">
              <w:rPr>
                <w:b/>
                <w:sz w:val="14"/>
                <w:szCs w:val="14"/>
              </w:rPr>
              <w:br/>
              <w:t>-----</w:t>
            </w:r>
            <w:r w:rsidRPr="00653EE7">
              <w:rPr>
                <w:b/>
                <w:sz w:val="14"/>
                <w:szCs w:val="14"/>
              </w:rPr>
              <w:br/>
              <w:t>ABBREVIATIONS:</w:t>
            </w:r>
          </w:p>
          <w:p w:rsidR="00653EE7" w:rsidRPr="00653EE7" w:rsidRDefault="00653EE7" w:rsidP="00653EE7">
            <w:pPr>
              <w:jc w:val="both"/>
              <w:rPr>
                <w:b/>
                <w:sz w:val="14"/>
                <w:szCs w:val="14"/>
              </w:rPr>
            </w:pPr>
            <w:r w:rsidRPr="00653EE7">
              <w:rPr>
                <w:b/>
                <w:sz w:val="14"/>
                <w:szCs w:val="14"/>
              </w:rPr>
              <w:t>AE</w:t>
            </w:r>
            <w:r w:rsidRPr="00653EE7">
              <w:rPr>
                <w:sz w:val="14"/>
                <w:szCs w:val="14"/>
              </w:rPr>
              <w:t>: adverse event</w:t>
            </w:r>
          </w:p>
          <w:p w:rsidR="00653EE7" w:rsidRPr="00653EE7" w:rsidRDefault="00653EE7" w:rsidP="00653EE7">
            <w:pPr>
              <w:jc w:val="both"/>
              <w:rPr>
                <w:sz w:val="14"/>
                <w:szCs w:val="14"/>
              </w:rPr>
            </w:pPr>
            <w:r w:rsidRPr="00653EE7">
              <w:rPr>
                <w:b/>
                <w:sz w:val="14"/>
                <w:szCs w:val="14"/>
              </w:rPr>
              <w:t>CI</w:t>
            </w:r>
            <w:r w:rsidRPr="00653EE7">
              <w:rPr>
                <w:sz w:val="14"/>
                <w:szCs w:val="14"/>
              </w:rPr>
              <w:t>: confidence interval</w:t>
            </w:r>
          </w:p>
          <w:p w:rsidR="00653EE7" w:rsidRPr="00653EE7" w:rsidRDefault="00653EE7" w:rsidP="00653EE7">
            <w:pPr>
              <w:jc w:val="both"/>
              <w:rPr>
                <w:sz w:val="14"/>
                <w:szCs w:val="14"/>
              </w:rPr>
            </w:pPr>
            <w:r w:rsidRPr="00653EE7">
              <w:rPr>
                <w:b/>
                <w:sz w:val="14"/>
                <w:szCs w:val="14"/>
              </w:rPr>
              <w:t>ECOG</w:t>
            </w:r>
            <w:r w:rsidRPr="00653EE7">
              <w:rPr>
                <w:sz w:val="14"/>
                <w:szCs w:val="14"/>
              </w:rPr>
              <w:t>: Eastern Cooperative Oncology Group</w:t>
            </w:r>
          </w:p>
          <w:p w:rsidR="00653EE7" w:rsidRPr="00653EE7" w:rsidRDefault="00653EE7" w:rsidP="00653EE7">
            <w:pPr>
              <w:jc w:val="both"/>
              <w:rPr>
                <w:sz w:val="14"/>
                <w:szCs w:val="14"/>
              </w:rPr>
            </w:pPr>
            <w:r w:rsidRPr="00653EE7">
              <w:rPr>
                <w:b/>
                <w:sz w:val="14"/>
                <w:szCs w:val="14"/>
              </w:rPr>
              <w:t>HR</w:t>
            </w:r>
            <w:r w:rsidRPr="00653EE7">
              <w:rPr>
                <w:sz w:val="14"/>
                <w:szCs w:val="14"/>
              </w:rPr>
              <w:t>: hazard ratio</w:t>
            </w:r>
          </w:p>
          <w:p w:rsidR="00653EE7" w:rsidRPr="00653EE7" w:rsidRDefault="00653EE7" w:rsidP="00653EE7">
            <w:pPr>
              <w:jc w:val="both"/>
              <w:rPr>
                <w:b/>
                <w:sz w:val="14"/>
                <w:szCs w:val="14"/>
              </w:rPr>
            </w:pPr>
            <w:r w:rsidRPr="00653EE7">
              <w:rPr>
                <w:b/>
                <w:sz w:val="14"/>
                <w:szCs w:val="14"/>
              </w:rPr>
              <w:t>M.A</w:t>
            </w:r>
            <w:r w:rsidRPr="00653EE7">
              <w:rPr>
                <w:sz w:val="14"/>
                <w:szCs w:val="14"/>
              </w:rPr>
              <w:t>.: marketing authorization</w:t>
            </w:r>
          </w:p>
          <w:p w:rsidR="00DC42F5" w:rsidRPr="00653EE7" w:rsidRDefault="00E263D7" w:rsidP="00653EE7">
            <w:pPr>
              <w:jc w:val="both"/>
              <w:rPr>
                <w:sz w:val="14"/>
                <w:szCs w:val="14"/>
              </w:rPr>
            </w:pPr>
            <w:r w:rsidRPr="00653EE7">
              <w:rPr>
                <w:b/>
                <w:sz w:val="14"/>
                <w:szCs w:val="14"/>
              </w:rPr>
              <w:t>OS</w:t>
            </w:r>
            <w:r w:rsidRPr="00653EE7">
              <w:rPr>
                <w:sz w:val="14"/>
                <w:szCs w:val="14"/>
              </w:rPr>
              <w:t>: overall survival</w:t>
            </w:r>
          </w:p>
          <w:p w:rsidR="00653EE7" w:rsidRPr="00653EE7" w:rsidRDefault="00653EE7" w:rsidP="00653EE7">
            <w:pPr>
              <w:jc w:val="both"/>
              <w:rPr>
                <w:b/>
                <w:sz w:val="14"/>
                <w:szCs w:val="14"/>
              </w:rPr>
            </w:pPr>
            <w:r w:rsidRPr="00653EE7">
              <w:rPr>
                <w:b/>
                <w:sz w:val="14"/>
                <w:szCs w:val="14"/>
              </w:rPr>
              <w:t>P</w:t>
            </w:r>
            <w:r w:rsidRPr="00653EE7">
              <w:rPr>
                <w:sz w:val="14"/>
                <w:szCs w:val="14"/>
              </w:rPr>
              <w:t>: p-value</w:t>
            </w:r>
          </w:p>
          <w:p w:rsidR="00653EE7" w:rsidRPr="00653EE7" w:rsidRDefault="00653EE7" w:rsidP="00653EE7">
            <w:pPr>
              <w:jc w:val="both"/>
              <w:rPr>
                <w:sz w:val="14"/>
                <w:szCs w:val="14"/>
              </w:rPr>
            </w:pPr>
            <w:r w:rsidRPr="00653EE7">
              <w:rPr>
                <w:b/>
                <w:sz w:val="14"/>
                <w:szCs w:val="14"/>
              </w:rPr>
              <w:t>P.O</w:t>
            </w:r>
            <w:r w:rsidRPr="00653EE7">
              <w:rPr>
                <w:sz w:val="14"/>
                <w:szCs w:val="14"/>
              </w:rPr>
              <w:t>.: positive opinion</w:t>
            </w:r>
          </w:p>
          <w:p w:rsidR="00167C9B" w:rsidRPr="00653EE7" w:rsidRDefault="00D032B3" w:rsidP="00653EE7">
            <w:pPr>
              <w:jc w:val="both"/>
              <w:rPr>
                <w:sz w:val="14"/>
                <w:szCs w:val="14"/>
              </w:rPr>
            </w:pPr>
            <w:r w:rsidRPr="00653EE7">
              <w:rPr>
                <w:b/>
                <w:sz w:val="14"/>
                <w:szCs w:val="14"/>
              </w:rPr>
              <w:t>Pts</w:t>
            </w:r>
            <w:r w:rsidRPr="00653EE7">
              <w:rPr>
                <w:sz w:val="14"/>
                <w:szCs w:val="14"/>
              </w:rPr>
              <w:t>: patients</w:t>
            </w:r>
          </w:p>
          <w:p w:rsidR="00167C9B" w:rsidRPr="00653EE7" w:rsidRDefault="00167C9B" w:rsidP="00653EE7">
            <w:pPr>
              <w:jc w:val="both"/>
              <w:rPr>
                <w:sz w:val="14"/>
                <w:szCs w:val="14"/>
              </w:rPr>
            </w:pPr>
            <w:r w:rsidRPr="00653EE7">
              <w:rPr>
                <w:b/>
                <w:sz w:val="14"/>
                <w:szCs w:val="14"/>
              </w:rPr>
              <w:t>UTI</w:t>
            </w:r>
            <w:r w:rsidRPr="00653EE7">
              <w:rPr>
                <w:sz w:val="14"/>
                <w:szCs w:val="14"/>
              </w:rPr>
              <w:t>: urinary tract infection</w:t>
            </w:r>
          </w:p>
          <w:p w:rsidR="00653EE7" w:rsidRPr="00653EE7" w:rsidRDefault="00653EE7" w:rsidP="00653EE7">
            <w:pPr>
              <w:jc w:val="both"/>
              <w:rPr>
                <w:sz w:val="14"/>
                <w:szCs w:val="14"/>
              </w:rPr>
            </w:pPr>
          </w:p>
          <w:p w:rsidR="00653EE7" w:rsidRPr="00653EE7" w:rsidRDefault="00653EE7">
            <w:pPr>
              <w:jc w:val="both"/>
              <w:rPr>
                <w:sz w:val="14"/>
                <w:szCs w:val="14"/>
              </w:rPr>
            </w:pPr>
          </w:p>
        </w:tc>
        <w:tc>
          <w:tcPr>
            <w:tcW w:w="7658" w:type="dxa"/>
          </w:tcPr>
          <w:p w:rsidR="00DC42F5" w:rsidRPr="00653EE7" w:rsidRDefault="00190DBE" w:rsidP="00653EE7">
            <w:pPr>
              <w:jc w:val="both"/>
              <w:rPr>
                <w:b/>
                <w:sz w:val="14"/>
                <w:szCs w:val="14"/>
              </w:rPr>
            </w:pPr>
            <w:r w:rsidRPr="00653EE7">
              <w:rPr>
                <w:b/>
                <w:sz w:val="14"/>
                <w:szCs w:val="14"/>
              </w:rPr>
              <w:t>Summary of clinical EFFICACY:</w:t>
            </w:r>
          </w:p>
          <w:p w:rsidR="001E31CC" w:rsidRPr="00653EE7" w:rsidRDefault="00E263D7" w:rsidP="00653EE7">
            <w:pPr>
              <w:jc w:val="both"/>
              <w:rPr>
                <w:sz w:val="14"/>
                <w:szCs w:val="14"/>
              </w:rPr>
            </w:pPr>
            <w:r w:rsidRPr="00653EE7">
              <w:rPr>
                <w:sz w:val="14"/>
                <w:szCs w:val="14"/>
                <w:u w:val="single"/>
              </w:rPr>
              <w:t>EMPOWER-Cervical 1/GOG-3016/ENGOT-cx9 (NCT03257267)</w:t>
            </w:r>
            <w:r w:rsidRPr="00653EE7">
              <w:rPr>
                <w:sz w:val="14"/>
                <w:szCs w:val="14"/>
              </w:rPr>
              <w:t xml:space="preserve"> is a phase III, open-label, multicenter trial. </w:t>
            </w:r>
          </w:p>
          <w:p w:rsidR="00E263D7" w:rsidRPr="00653EE7" w:rsidRDefault="00E263D7" w:rsidP="00653EE7">
            <w:pPr>
              <w:jc w:val="both"/>
              <w:rPr>
                <w:sz w:val="14"/>
                <w:szCs w:val="14"/>
              </w:rPr>
            </w:pPr>
            <w:r w:rsidRPr="00653EE7">
              <w:rPr>
                <w:sz w:val="14"/>
                <w:szCs w:val="14"/>
              </w:rPr>
              <w:t>The primary end-poi</w:t>
            </w:r>
            <w:r w:rsidR="00F5389F" w:rsidRPr="00653EE7">
              <w:rPr>
                <w:sz w:val="14"/>
                <w:szCs w:val="14"/>
              </w:rPr>
              <w:t>nt was overall survival</w:t>
            </w:r>
            <w:r w:rsidRPr="00653EE7">
              <w:rPr>
                <w:sz w:val="14"/>
                <w:szCs w:val="14"/>
              </w:rPr>
              <w:t xml:space="preserve">. </w:t>
            </w:r>
          </w:p>
          <w:p w:rsidR="00FC24D8" w:rsidRPr="00653EE7" w:rsidRDefault="00FC24D8" w:rsidP="00653EE7">
            <w:pPr>
              <w:jc w:val="both"/>
              <w:rPr>
                <w:sz w:val="14"/>
                <w:szCs w:val="14"/>
              </w:rPr>
            </w:pPr>
            <w:r w:rsidRPr="00653EE7">
              <w:rPr>
                <w:sz w:val="14"/>
                <w:szCs w:val="14"/>
              </w:rPr>
              <w:t>Pts are women with recurrent or metastatic cervical carcinoma; they were eligible for participation if their tumor had progressed after platinum-containing therapy used to treat recurrence or metastases. Pts had to have previously received bevacizumab and paclitaxel therapy and previous bevacizumab treatment had to have been discontinued because of progression or toxic effects before enrollment in the trial</w:t>
            </w:r>
            <w:r w:rsidR="00000DC5" w:rsidRPr="00653EE7">
              <w:rPr>
                <w:sz w:val="14"/>
                <w:szCs w:val="14"/>
              </w:rPr>
              <w:t>.</w:t>
            </w:r>
            <w:r w:rsidR="008965E7" w:rsidRPr="00653EE7">
              <w:rPr>
                <w:sz w:val="14"/>
                <w:szCs w:val="14"/>
              </w:rPr>
              <w:t xml:space="preserve"> An </w:t>
            </w:r>
            <w:r w:rsidR="00653EE7" w:rsidRPr="00653EE7">
              <w:rPr>
                <w:sz w:val="14"/>
                <w:szCs w:val="14"/>
              </w:rPr>
              <w:t>ECOG</w:t>
            </w:r>
            <w:r w:rsidR="008965E7" w:rsidRPr="00653EE7">
              <w:rPr>
                <w:sz w:val="14"/>
                <w:szCs w:val="14"/>
              </w:rPr>
              <w:t xml:space="preserve"> performance status score of 0 or 1 was required for enrollment. </w:t>
            </w:r>
          </w:p>
          <w:p w:rsidR="00D032B3" w:rsidRPr="00653EE7" w:rsidRDefault="00E063F8" w:rsidP="00653EE7">
            <w:pPr>
              <w:jc w:val="both"/>
              <w:rPr>
                <w:sz w:val="14"/>
                <w:szCs w:val="14"/>
              </w:rPr>
            </w:pPr>
            <w:r w:rsidRPr="00653EE7">
              <w:rPr>
                <w:sz w:val="14"/>
                <w:szCs w:val="14"/>
              </w:rPr>
              <w:t>Pts (n=608) were randomly</w:t>
            </w:r>
            <w:r w:rsidR="00F065C1" w:rsidRPr="00653EE7">
              <w:rPr>
                <w:sz w:val="14"/>
                <w:szCs w:val="14"/>
              </w:rPr>
              <w:t>*</w:t>
            </w:r>
            <w:r w:rsidRPr="00653EE7">
              <w:rPr>
                <w:sz w:val="14"/>
                <w:szCs w:val="14"/>
              </w:rPr>
              <w:t xml:space="preserve"> assigned in a 1:1 ratio to receive either </w:t>
            </w:r>
            <w:proofErr w:type="spellStart"/>
            <w:r w:rsidRPr="00653EE7">
              <w:rPr>
                <w:sz w:val="14"/>
                <w:szCs w:val="14"/>
              </w:rPr>
              <w:t>cemiplimab</w:t>
            </w:r>
            <w:proofErr w:type="spellEnd"/>
            <w:r w:rsidRPr="00653EE7">
              <w:rPr>
                <w:sz w:val="14"/>
                <w:szCs w:val="14"/>
              </w:rPr>
              <w:t xml:space="preserve"> (n=304) or the investigator’s choice of chemotherapy</w:t>
            </w:r>
            <w:r w:rsidR="00F065C1" w:rsidRPr="00653EE7">
              <w:rPr>
                <w:sz w:val="14"/>
                <w:szCs w:val="14"/>
              </w:rPr>
              <w:t>**</w:t>
            </w:r>
            <w:r w:rsidRPr="00653EE7">
              <w:rPr>
                <w:sz w:val="14"/>
                <w:szCs w:val="14"/>
              </w:rPr>
              <w:t xml:space="preserve"> as the control therapy (n=304)</w:t>
            </w:r>
            <w:r w:rsidR="00653EE7" w:rsidRPr="00653EE7">
              <w:rPr>
                <w:sz w:val="14"/>
                <w:szCs w:val="14"/>
              </w:rPr>
              <w:t xml:space="preserve">; </w:t>
            </w:r>
            <w:proofErr w:type="spellStart"/>
            <w:r w:rsidR="00653EE7" w:rsidRPr="00653EE7">
              <w:rPr>
                <w:sz w:val="14"/>
                <w:szCs w:val="14"/>
              </w:rPr>
              <w:t>cemipl</w:t>
            </w:r>
            <w:r w:rsidR="00D032B3" w:rsidRPr="00653EE7">
              <w:rPr>
                <w:sz w:val="14"/>
                <w:szCs w:val="14"/>
              </w:rPr>
              <w:t>imab</w:t>
            </w:r>
            <w:proofErr w:type="spellEnd"/>
            <w:r w:rsidR="00D032B3" w:rsidRPr="00653EE7">
              <w:rPr>
                <w:sz w:val="14"/>
                <w:szCs w:val="14"/>
              </w:rPr>
              <w:t xml:space="preserve"> was administered at a flat dose of 350mg iv every 21 days for up to 96 weeks. </w:t>
            </w:r>
          </w:p>
          <w:p w:rsidR="00054045" w:rsidRPr="00653EE7" w:rsidRDefault="00D032B3" w:rsidP="00653EE7">
            <w:pPr>
              <w:jc w:val="both"/>
              <w:rPr>
                <w:sz w:val="14"/>
                <w:szCs w:val="14"/>
              </w:rPr>
            </w:pPr>
            <w:r w:rsidRPr="00653EE7">
              <w:rPr>
                <w:sz w:val="14"/>
                <w:szCs w:val="14"/>
              </w:rPr>
              <w:t>In t</w:t>
            </w:r>
            <w:r w:rsidR="00B756AA" w:rsidRPr="00653EE7">
              <w:rPr>
                <w:sz w:val="14"/>
                <w:szCs w:val="14"/>
              </w:rPr>
              <w:t>he overall population, median OS</w:t>
            </w:r>
            <w:r w:rsidRPr="00653EE7">
              <w:rPr>
                <w:sz w:val="14"/>
                <w:szCs w:val="14"/>
              </w:rPr>
              <w:t xml:space="preserve"> with </w:t>
            </w:r>
            <w:proofErr w:type="spellStart"/>
            <w:r w:rsidRPr="00653EE7">
              <w:rPr>
                <w:sz w:val="14"/>
                <w:szCs w:val="14"/>
              </w:rPr>
              <w:t>cemiplimab</w:t>
            </w:r>
            <w:proofErr w:type="spellEnd"/>
            <w:r w:rsidRPr="00653EE7">
              <w:rPr>
                <w:sz w:val="14"/>
                <w:szCs w:val="14"/>
              </w:rPr>
              <w:t xml:space="preserve"> was 12 months (95% CI</w:t>
            </w:r>
            <w:r w:rsidR="000C512D" w:rsidRPr="00653EE7">
              <w:rPr>
                <w:sz w:val="14"/>
                <w:szCs w:val="14"/>
              </w:rPr>
              <w:t xml:space="preserve">, 10.3 to 13.5), as compared with 8.5 months (95% CI, 7.5 to 9.6) with chemotherapy (HR for death, 0.69; 95% CI, 0.56 to 0.84, two sided P&lt;0.001). </w:t>
            </w:r>
            <w:r w:rsidR="00F5389F" w:rsidRPr="00653EE7">
              <w:rPr>
                <w:sz w:val="14"/>
                <w:szCs w:val="14"/>
              </w:rPr>
              <w:t xml:space="preserve">The </w:t>
            </w:r>
            <w:r w:rsidR="00653EE7" w:rsidRPr="00653EE7">
              <w:rPr>
                <w:sz w:val="14"/>
                <w:szCs w:val="14"/>
              </w:rPr>
              <w:t>OS</w:t>
            </w:r>
            <w:r w:rsidR="00F5389F" w:rsidRPr="00653EE7">
              <w:rPr>
                <w:sz w:val="14"/>
                <w:szCs w:val="14"/>
              </w:rPr>
              <w:t xml:space="preserve"> benefit was consistent in both histologic subgroup (</w:t>
            </w:r>
            <w:proofErr w:type="spellStart"/>
            <w:r w:rsidR="00F5389F" w:rsidRPr="00653EE7">
              <w:rPr>
                <w:sz w:val="14"/>
                <w:szCs w:val="14"/>
              </w:rPr>
              <w:t>squamous</w:t>
            </w:r>
            <w:proofErr w:type="spellEnd"/>
            <w:r w:rsidR="00F5389F" w:rsidRPr="00653EE7">
              <w:rPr>
                <w:sz w:val="14"/>
                <w:szCs w:val="14"/>
              </w:rPr>
              <w:t xml:space="preserve">-cell carcinoma and </w:t>
            </w:r>
            <w:proofErr w:type="spellStart"/>
            <w:r w:rsidR="00F5389F" w:rsidRPr="00653EE7">
              <w:rPr>
                <w:sz w:val="14"/>
                <w:szCs w:val="14"/>
              </w:rPr>
              <w:t>adenocarcinoma</w:t>
            </w:r>
            <w:proofErr w:type="spellEnd"/>
            <w:r w:rsidR="00F5389F" w:rsidRPr="00653EE7">
              <w:rPr>
                <w:sz w:val="14"/>
                <w:szCs w:val="14"/>
              </w:rPr>
              <w:t xml:space="preserve"> [incl</w:t>
            </w:r>
            <w:r w:rsidR="006A5B3E" w:rsidRPr="00653EE7">
              <w:rPr>
                <w:sz w:val="14"/>
                <w:szCs w:val="14"/>
              </w:rPr>
              <w:t xml:space="preserve">uding </w:t>
            </w:r>
            <w:proofErr w:type="spellStart"/>
            <w:r w:rsidR="006A5B3E" w:rsidRPr="00653EE7">
              <w:rPr>
                <w:sz w:val="14"/>
                <w:szCs w:val="14"/>
              </w:rPr>
              <w:t>adenosquamous</w:t>
            </w:r>
            <w:proofErr w:type="spellEnd"/>
            <w:r w:rsidR="006A5B3E" w:rsidRPr="00653EE7">
              <w:rPr>
                <w:sz w:val="14"/>
                <w:szCs w:val="14"/>
              </w:rPr>
              <w:t xml:space="preserve"> carcinoma]) [2].</w:t>
            </w:r>
          </w:p>
          <w:tbl>
            <w:tblPr>
              <w:tblStyle w:val="Grigliatabella"/>
              <w:tblW w:w="0" w:type="auto"/>
              <w:tblLayout w:type="fixed"/>
              <w:tblLook w:val="04A0"/>
            </w:tblPr>
            <w:tblGrid>
              <w:gridCol w:w="3573"/>
              <w:gridCol w:w="1984"/>
              <w:gridCol w:w="1701"/>
            </w:tblGrid>
            <w:tr w:rsidR="00054045" w:rsidRPr="00653EE7" w:rsidTr="00653EE7">
              <w:trPr>
                <w:trHeight w:val="87"/>
              </w:trPr>
              <w:tc>
                <w:tcPr>
                  <w:tcW w:w="3573" w:type="dxa"/>
                  <w:vMerge w:val="restart"/>
                </w:tcPr>
                <w:p w:rsidR="00054045" w:rsidRPr="00653EE7" w:rsidRDefault="00054045" w:rsidP="00653EE7">
                  <w:pPr>
                    <w:jc w:val="both"/>
                    <w:rPr>
                      <w:sz w:val="14"/>
                      <w:szCs w:val="14"/>
                    </w:rPr>
                  </w:pPr>
                </w:p>
              </w:tc>
              <w:tc>
                <w:tcPr>
                  <w:tcW w:w="3685" w:type="dxa"/>
                  <w:gridSpan w:val="2"/>
                </w:tcPr>
                <w:p w:rsidR="00BD314C" w:rsidRPr="00653EE7" w:rsidRDefault="00BD314C" w:rsidP="003A0F1D">
                  <w:pPr>
                    <w:jc w:val="both"/>
                    <w:rPr>
                      <w:sz w:val="14"/>
                      <w:szCs w:val="14"/>
                    </w:rPr>
                  </w:pPr>
                  <w:r w:rsidRPr="00653EE7">
                    <w:rPr>
                      <w:sz w:val="14"/>
                      <w:szCs w:val="14"/>
                    </w:rPr>
                    <w:t xml:space="preserve">Median overall survival </w:t>
                  </w:r>
                </w:p>
              </w:tc>
            </w:tr>
            <w:tr w:rsidR="00054045" w:rsidRPr="00653EE7" w:rsidTr="00653EE7">
              <w:trPr>
                <w:trHeight w:val="86"/>
              </w:trPr>
              <w:tc>
                <w:tcPr>
                  <w:tcW w:w="3573" w:type="dxa"/>
                  <w:vMerge/>
                </w:tcPr>
                <w:p w:rsidR="00054045" w:rsidRPr="00653EE7" w:rsidRDefault="00054045" w:rsidP="00653EE7">
                  <w:pPr>
                    <w:jc w:val="both"/>
                    <w:rPr>
                      <w:sz w:val="14"/>
                      <w:szCs w:val="14"/>
                    </w:rPr>
                  </w:pPr>
                </w:p>
              </w:tc>
              <w:tc>
                <w:tcPr>
                  <w:tcW w:w="1984" w:type="dxa"/>
                </w:tcPr>
                <w:p w:rsidR="00054045" w:rsidRPr="00653EE7" w:rsidRDefault="00BD314C" w:rsidP="00653EE7">
                  <w:pPr>
                    <w:jc w:val="both"/>
                    <w:rPr>
                      <w:sz w:val="14"/>
                      <w:szCs w:val="14"/>
                    </w:rPr>
                  </w:pPr>
                  <w:proofErr w:type="spellStart"/>
                  <w:r w:rsidRPr="00653EE7">
                    <w:rPr>
                      <w:sz w:val="14"/>
                      <w:szCs w:val="14"/>
                    </w:rPr>
                    <w:t>cemiplimab</w:t>
                  </w:r>
                  <w:proofErr w:type="spellEnd"/>
                </w:p>
              </w:tc>
              <w:tc>
                <w:tcPr>
                  <w:tcW w:w="1701" w:type="dxa"/>
                </w:tcPr>
                <w:p w:rsidR="00054045" w:rsidRPr="00653EE7" w:rsidRDefault="00BD314C" w:rsidP="00653EE7">
                  <w:pPr>
                    <w:jc w:val="both"/>
                    <w:rPr>
                      <w:sz w:val="14"/>
                      <w:szCs w:val="14"/>
                    </w:rPr>
                  </w:pPr>
                  <w:r w:rsidRPr="00653EE7">
                    <w:rPr>
                      <w:sz w:val="14"/>
                      <w:szCs w:val="14"/>
                    </w:rPr>
                    <w:t>chemotherapy</w:t>
                  </w:r>
                </w:p>
              </w:tc>
            </w:tr>
            <w:tr w:rsidR="00054045" w:rsidRPr="00653EE7" w:rsidTr="00653EE7">
              <w:tc>
                <w:tcPr>
                  <w:tcW w:w="3573" w:type="dxa"/>
                </w:tcPr>
                <w:p w:rsidR="00054045" w:rsidRPr="00653EE7" w:rsidRDefault="00054045" w:rsidP="00653EE7">
                  <w:pPr>
                    <w:jc w:val="both"/>
                    <w:rPr>
                      <w:sz w:val="14"/>
                      <w:szCs w:val="14"/>
                    </w:rPr>
                  </w:pPr>
                  <w:r w:rsidRPr="00653EE7">
                    <w:rPr>
                      <w:sz w:val="14"/>
                      <w:szCs w:val="14"/>
                    </w:rPr>
                    <w:t>Squamous-cell carcinoma</w:t>
                  </w:r>
                </w:p>
                <w:p w:rsidR="00DF4E12" w:rsidRPr="00653EE7" w:rsidRDefault="00DF4E12" w:rsidP="00653EE7">
                  <w:pPr>
                    <w:jc w:val="both"/>
                    <w:rPr>
                      <w:sz w:val="14"/>
                      <w:szCs w:val="14"/>
                    </w:rPr>
                  </w:pPr>
                  <w:r w:rsidRPr="00653EE7">
                    <w:rPr>
                      <w:sz w:val="14"/>
                      <w:szCs w:val="14"/>
                    </w:rPr>
                    <w:t>HR 0.73; 95% CI, 0.58 to 0.91; two-sided P=0.006</w:t>
                  </w:r>
                </w:p>
              </w:tc>
              <w:tc>
                <w:tcPr>
                  <w:tcW w:w="1984" w:type="dxa"/>
                </w:tcPr>
                <w:p w:rsidR="00054045" w:rsidRPr="00653EE7" w:rsidRDefault="00BD314C" w:rsidP="00653EE7">
                  <w:pPr>
                    <w:jc w:val="both"/>
                    <w:rPr>
                      <w:sz w:val="14"/>
                      <w:szCs w:val="14"/>
                    </w:rPr>
                  </w:pPr>
                  <w:r w:rsidRPr="00653EE7">
                    <w:rPr>
                      <w:sz w:val="14"/>
                      <w:szCs w:val="14"/>
                    </w:rPr>
                    <w:t>11 months</w:t>
                  </w:r>
                </w:p>
                <w:p w:rsidR="00BD314C" w:rsidRPr="00653EE7" w:rsidRDefault="00BD314C" w:rsidP="00653EE7">
                  <w:pPr>
                    <w:jc w:val="both"/>
                    <w:rPr>
                      <w:sz w:val="14"/>
                      <w:szCs w:val="14"/>
                    </w:rPr>
                  </w:pPr>
                  <w:r w:rsidRPr="00653EE7">
                    <w:rPr>
                      <w:sz w:val="14"/>
                      <w:szCs w:val="14"/>
                    </w:rPr>
                    <w:t>95% CI, 9.2 to 13.4</w:t>
                  </w:r>
                </w:p>
              </w:tc>
              <w:tc>
                <w:tcPr>
                  <w:tcW w:w="1701" w:type="dxa"/>
                </w:tcPr>
                <w:p w:rsidR="00054045" w:rsidRPr="00653EE7" w:rsidRDefault="00BD314C" w:rsidP="00653EE7">
                  <w:pPr>
                    <w:jc w:val="both"/>
                    <w:rPr>
                      <w:sz w:val="14"/>
                      <w:szCs w:val="14"/>
                    </w:rPr>
                  </w:pPr>
                  <w:r w:rsidRPr="00653EE7">
                    <w:rPr>
                      <w:sz w:val="14"/>
                      <w:szCs w:val="14"/>
                    </w:rPr>
                    <w:t>9 months</w:t>
                  </w:r>
                </w:p>
                <w:p w:rsidR="00BD314C" w:rsidRPr="00653EE7" w:rsidRDefault="00BD314C" w:rsidP="00653EE7">
                  <w:pPr>
                    <w:jc w:val="both"/>
                    <w:rPr>
                      <w:sz w:val="14"/>
                      <w:szCs w:val="14"/>
                    </w:rPr>
                  </w:pPr>
                  <w:r w:rsidRPr="00653EE7">
                    <w:rPr>
                      <w:sz w:val="14"/>
                      <w:szCs w:val="14"/>
                    </w:rPr>
                    <w:t>95% CI, 7.6 to 9.8</w:t>
                  </w:r>
                </w:p>
              </w:tc>
            </w:tr>
            <w:tr w:rsidR="00054045" w:rsidRPr="00653EE7" w:rsidTr="00653EE7">
              <w:tc>
                <w:tcPr>
                  <w:tcW w:w="3573" w:type="dxa"/>
                </w:tcPr>
                <w:p w:rsidR="00054045" w:rsidRPr="00653EE7" w:rsidRDefault="00054045" w:rsidP="00653EE7">
                  <w:pPr>
                    <w:jc w:val="both"/>
                    <w:rPr>
                      <w:sz w:val="14"/>
                      <w:szCs w:val="14"/>
                    </w:rPr>
                  </w:pPr>
                  <w:proofErr w:type="spellStart"/>
                  <w:r w:rsidRPr="00653EE7">
                    <w:rPr>
                      <w:sz w:val="14"/>
                      <w:szCs w:val="14"/>
                    </w:rPr>
                    <w:t>Adenocarcinoma</w:t>
                  </w:r>
                  <w:proofErr w:type="spellEnd"/>
                  <w:r w:rsidRPr="00653EE7">
                    <w:rPr>
                      <w:sz w:val="14"/>
                      <w:szCs w:val="14"/>
                    </w:rPr>
                    <w:t xml:space="preserve"> or </w:t>
                  </w:r>
                  <w:proofErr w:type="spellStart"/>
                  <w:r w:rsidRPr="00653EE7">
                    <w:rPr>
                      <w:sz w:val="14"/>
                      <w:szCs w:val="14"/>
                    </w:rPr>
                    <w:t>adenosquamous</w:t>
                  </w:r>
                  <w:proofErr w:type="spellEnd"/>
                  <w:r w:rsidRPr="00653EE7">
                    <w:rPr>
                      <w:sz w:val="14"/>
                      <w:szCs w:val="14"/>
                    </w:rPr>
                    <w:t xml:space="preserve"> carcinoma</w:t>
                  </w:r>
                </w:p>
                <w:p w:rsidR="00DF4E12" w:rsidRPr="00653EE7" w:rsidRDefault="00DF4E12" w:rsidP="00653EE7">
                  <w:pPr>
                    <w:jc w:val="both"/>
                    <w:rPr>
                      <w:sz w:val="14"/>
                      <w:szCs w:val="14"/>
                    </w:rPr>
                  </w:pPr>
                  <w:r w:rsidRPr="00653EE7">
                    <w:rPr>
                      <w:sz w:val="14"/>
                      <w:szCs w:val="14"/>
                    </w:rPr>
                    <w:t>HR, 0.56; 95% CI, 0.36 to 0.85</w:t>
                  </w:r>
                </w:p>
              </w:tc>
              <w:tc>
                <w:tcPr>
                  <w:tcW w:w="1984" w:type="dxa"/>
                </w:tcPr>
                <w:p w:rsidR="00054045" w:rsidRPr="00653EE7" w:rsidRDefault="00BD314C" w:rsidP="00653EE7">
                  <w:pPr>
                    <w:jc w:val="both"/>
                    <w:rPr>
                      <w:sz w:val="14"/>
                      <w:szCs w:val="14"/>
                    </w:rPr>
                  </w:pPr>
                  <w:r w:rsidRPr="00653EE7">
                    <w:rPr>
                      <w:sz w:val="14"/>
                      <w:szCs w:val="14"/>
                    </w:rPr>
                    <w:t>13 moths</w:t>
                  </w:r>
                </w:p>
                <w:p w:rsidR="00BD314C" w:rsidRPr="00653EE7" w:rsidRDefault="00BD314C" w:rsidP="00653EE7">
                  <w:pPr>
                    <w:jc w:val="both"/>
                    <w:rPr>
                      <w:sz w:val="14"/>
                      <w:szCs w:val="14"/>
                    </w:rPr>
                  </w:pPr>
                  <w:r w:rsidRPr="00653EE7">
                    <w:rPr>
                      <w:sz w:val="14"/>
                      <w:szCs w:val="14"/>
                    </w:rPr>
                    <w:t xml:space="preserve">95% CI, 9.6 to 17.6 </w:t>
                  </w:r>
                </w:p>
              </w:tc>
              <w:tc>
                <w:tcPr>
                  <w:tcW w:w="1701" w:type="dxa"/>
                </w:tcPr>
                <w:p w:rsidR="00DF4E12" w:rsidRPr="00653EE7" w:rsidRDefault="00DF4E12" w:rsidP="00653EE7">
                  <w:pPr>
                    <w:jc w:val="both"/>
                    <w:rPr>
                      <w:sz w:val="14"/>
                      <w:szCs w:val="14"/>
                    </w:rPr>
                  </w:pPr>
                  <w:r w:rsidRPr="00653EE7">
                    <w:rPr>
                      <w:sz w:val="14"/>
                      <w:szCs w:val="14"/>
                    </w:rPr>
                    <w:t>7 months</w:t>
                  </w:r>
                </w:p>
                <w:p w:rsidR="00DF4E12" w:rsidRPr="00653EE7" w:rsidRDefault="00DF4E12" w:rsidP="00653EE7">
                  <w:pPr>
                    <w:jc w:val="both"/>
                    <w:rPr>
                      <w:sz w:val="14"/>
                      <w:szCs w:val="14"/>
                    </w:rPr>
                  </w:pPr>
                  <w:r w:rsidRPr="00653EE7">
                    <w:rPr>
                      <w:sz w:val="14"/>
                      <w:szCs w:val="14"/>
                    </w:rPr>
                    <w:t xml:space="preserve">95% CI, 5.1 to 9.7 </w:t>
                  </w:r>
                </w:p>
              </w:tc>
            </w:tr>
          </w:tbl>
          <w:p w:rsidR="00E063F8" w:rsidRPr="00653EE7" w:rsidRDefault="00E063F8" w:rsidP="00653EE7">
            <w:pPr>
              <w:jc w:val="both"/>
              <w:rPr>
                <w:sz w:val="14"/>
                <w:szCs w:val="14"/>
              </w:rPr>
            </w:pPr>
            <w:r w:rsidRPr="00653EE7">
              <w:rPr>
                <w:sz w:val="14"/>
                <w:szCs w:val="14"/>
              </w:rPr>
              <w:t xml:space="preserve">*Randomization was stratified </w:t>
            </w:r>
            <w:r w:rsidR="00F065C1" w:rsidRPr="00653EE7">
              <w:rPr>
                <w:sz w:val="14"/>
                <w:szCs w:val="14"/>
              </w:rPr>
              <w:t>according to histologic type (</w:t>
            </w:r>
            <w:proofErr w:type="spellStart"/>
            <w:r w:rsidR="00F065C1" w:rsidRPr="00653EE7">
              <w:rPr>
                <w:sz w:val="14"/>
                <w:szCs w:val="14"/>
              </w:rPr>
              <w:t>squamous</w:t>
            </w:r>
            <w:proofErr w:type="spellEnd"/>
            <w:r w:rsidR="00F065C1" w:rsidRPr="00653EE7">
              <w:rPr>
                <w:sz w:val="14"/>
                <w:szCs w:val="14"/>
              </w:rPr>
              <w:t xml:space="preserve">-cell carcinoma or </w:t>
            </w:r>
            <w:proofErr w:type="spellStart"/>
            <w:r w:rsidR="00F065C1" w:rsidRPr="00653EE7">
              <w:rPr>
                <w:sz w:val="14"/>
                <w:szCs w:val="14"/>
              </w:rPr>
              <w:t>adenocarcinoma</w:t>
            </w:r>
            <w:proofErr w:type="spellEnd"/>
            <w:r w:rsidR="00F065C1" w:rsidRPr="00653EE7">
              <w:rPr>
                <w:sz w:val="14"/>
                <w:szCs w:val="14"/>
              </w:rPr>
              <w:t xml:space="preserve"> [including </w:t>
            </w:r>
            <w:proofErr w:type="spellStart"/>
            <w:r w:rsidR="00F065C1" w:rsidRPr="00653EE7">
              <w:rPr>
                <w:sz w:val="14"/>
                <w:szCs w:val="14"/>
              </w:rPr>
              <w:t>adenosquamous</w:t>
            </w:r>
            <w:proofErr w:type="spellEnd"/>
            <w:r w:rsidR="00F065C1" w:rsidRPr="00653EE7">
              <w:rPr>
                <w:sz w:val="14"/>
                <w:szCs w:val="14"/>
              </w:rPr>
              <w:t xml:space="preserve"> carcinoma]), previous </w:t>
            </w:r>
            <w:proofErr w:type="spellStart"/>
            <w:r w:rsidR="00F065C1" w:rsidRPr="00653EE7">
              <w:rPr>
                <w:sz w:val="14"/>
                <w:szCs w:val="14"/>
              </w:rPr>
              <w:t>bevacizumab</w:t>
            </w:r>
            <w:proofErr w:type="spellEnd"/>
            <w:r w:rsidR="00F065C1" w:rsidRPr="00653EE7">
              <w:rPr>
                <w:sz w:val="14"/>
                <w:szCs w:val="14"/>
              </w:rPr>
              <w:t xml:space="preserve"> exposure (yes or no), and ECOG performance-status score (0 or 1). </w:t>
            </w:r>
          </w:p>
          <w:p w:rsidR="00F065C1" w:rsidRPr="00653EE7" w:rsidRDefault="00F065C1" w:rsidP="00653EE7">
            <w:pPr>
              <w:jc w:val="both"/>
              <w:rPr>
                <w:sz w:val="14"/>
                <w:szCs w:val="14"/>
              </w:rPr>
            </w:pPr>
            <w:r w:rsidRPr="00653EE7">
              <w:rPr>
                <w:sz w:val="14"/>
                <w:szCs w:val="14"/>
              </w:rPr>
              <w:t xml:space="preserve">**n=111 were assigned to </w:t>
            </w:r>
            <w:proofErr w:type="spellStart"/>
            <w:r w:rsidRPr="00653EE7">
              <w:rPr>
                <w:sz w:val="14"/>
                <w:szCs w:val="14"/>
              </w:rPr>
              <w:t>pemetrexed</w:t>
            </w:r>
            <w:proofErr w:type="spellEnd"/>
            <w:r w:rsidRPr="00653EE7">
              <w:rPr>
                <w:sz w:val="14"/>
                <w:szCs w:val="14"/>
              </w:rPr>
              <w:t xml:space="preserve"> (500mg), n=121 to gemcitabine</w:t>
            </w:r>
            <w:r w:rsidR="00D032B3" w:rsidRPr="00653EE7">
              <w:rPr>
                <w:sz w:val="14"/>
                <w:szCs w:val="14"/>
              </w:rPr>
              <w:t xml:space="preserve"> (1000mg)</w:t>
            </w:r>
            <w:r w:rsidRPr="00653EE7">
              <w:rPr>
                <w:sz w:val="14"/>
                <w:szCs w:val="14"/>
              </w:rPr>
              <w:t xml:space="preserve">, n=21 to </w:t>
            </w:r>
            <w:proofErr w:type="spellStart"/>
            <w:r w:rsidRPr="00653EE7">
              <w:rPr>
                <w:sz w:val="14"/>
                <w:szCs w:val="14"/>
              </w:rPr>
              <w:t>topotecan</w:t>
            </w:r>
            <w:proofErr w:type="spellEnd"/>
            <w:r w:rsidRPr="00653EE7">
              <w:rPr>
                <w:sz w:val="14"/>
                <w:szCs w:val="14"/>
              </w:rPr>
              <w:t xml:space="preserve"> (1mg), n=19 to irinotecan (100mg), n=32 to </w:t>
            </w:r>
            <w:proofErr w:type="spellStart"/>
            <w:r w:rsidRPr="00653EE7">
              <w:rPr>
                <w:sz w:val="14"/>
                <w:szCs w:val="14"/>
              </w:rPr>
              <w:t>vinorebine</w:t>
            </w:r>
            <w:proofErr w:type="spellEnd"/>
            <w:r w:rsidRPr="00653EE7">
              <w:rPr>
                <w:sz w:val="14"/>
                <w:szCs w:val="14"/>
              </w:rPr>
              <w:t xml:space="preserve">. </w:t>
            </w:r>
          </w:p>
          <w:p w:rsidR="00DC42F5" w:rsidRPr="00653EE7" w:rsidRDefault="00DC42F5" w:rsidP="00653EE7">
            <w:pPr>
              <w:jc w:val="both"/>
              <w:rPr>
                <w:b/>
                <w:sz w:val="14"/>
                <w:szCs w:val="14"/>
              </w:rPr>
            </w:pPr>
          </w:p>
          <w:p w:rsidR="00DC42F5" w:rsidRPr="00653EE7" w:rsidRDefault="00190DBE" w:rsidP="00653EE7">
            <w:pPr>
              <w:jc w:val="both"/>
              <w:rPr>
                <w:b/>
                <w:sz w:val="14"/>
                <w:szCs w:val="14"/>
              </w:rPr>
            </w:pPr>
            <w:r w:rsidRPr="00653EE7">
              <w:rPr>
                <w:b/>
                <w:sz w:val="14"/>
                <w:szCs w:val="14"/>
              </w:rPr>
              <w:t>Summary of clinical  SAFETY:</w:t>
            </w:r>
          </w:p>
          <w:p w:rsidR="00167C9B" w:rsidRPr="00653EE7" w:rsidRDefault="00167C9B" w:rsidP="00653EE7">
            <w:pPr>
              <w:jc w:val="both"/>
              <w:rPr>
                <w:sz w:val="14"/>
                <w:szCs w:val="14"/>
              </w:rPr>
            </w:pPr>
            <w:r w:rsidRPr="00653EE7">
              <w:rPr>
                <w:sz w:val="14"/>
                <w:szCs w:val="14"/>
              </w:rPr>
              <w:t>The safety profile was consistent with that previously reported for the drug and for other</w:t>
            </w:r>
            <w:r w:rsidR="001A39C6" w:rsidRPr="00653EE7">
              <w:rPr>
                <w:sz w:val="14"/>
                <w:szCs w:val="14"/>
              </w:rPr>
              <w:t xml:space="preserve"> PD-1 or PD-L1 inhibitors in pts with other tumor types.</w:t>
            </w:r>
            <w:r w:rsidR="008F491E" w:rsidRPr="00653EE7">
              <w:rPr>
                <w:sz w:val="14"/>
                <w:szCs w:val="14"/>
              </w:rPr>
              <w:t xml:space="preserve"> The number of deaths caused by AE was low in both treatment groups. </w:t>
            </w:r>
          </w:p>
          <w:p w:rsidR="00167C9B" w:rsidRPr="00653EE7" w:rsidRDefault="00167C9B" w:rsidP="00653EE7">
            <w:pPr>
              <w:jc w:val="both"/>
              <w:rPr>
                <w:sz w:val="14"/>
                <w:szCs w:val="14"/>
              </w:rPr>
            </w:pPr>
            <w:r w:rsidRPr="00653EE7">
              <w:rPr>
                <w:sz w:val="14"/>
                <w:szCs w:val="14"/>
              </w:rPr>
              <w:t xml:space="preserve">The most common grade 3 or higher AE (occurring ≥5% of pts in either group) were anemia (12% with </w:t>
            </w:r>
            <w:proofErr w:type="spellStart"/>
            <w:r w:rsidRPr="00653EE7">
              <w:rPr>
                <w:sz w:val="14"/>
                <w:szCs w:val="14"/>
              </w:rPr>
              <w:t>cemiplimab</w:t>
            </w:r>
            <w:proofErr w:type="spellEnd"/>
            <w:r w:rsidRPr="00653EE7">
              <w:rPr>
                <w:sz w:val="14"/>
                <w:szCs w:val="14"/>
              </w:rPr>
              <w:t xml:space="preserve"> and 27% with chemotherapy), UTI (5% and 3%</w:t>
            </w:r>
            <w:r w:rsidR="006A5B3E" w:rsidRPr="00653EE7">
              <w:rPr>
                <w:sz w:val="14"/>
                <w:szCs w:val="14"/>
              </w:rPr>
              <w:t xml:space="preserve">), and </w:t>
            </w:r>
            <w:proofErr w:type="spellStart"/>
            <w:r w:rsidR="006A5B3E" w:rsidRPr="00653EE7">
              <w:rPr>
                <w:sz w:val="14"/>
                <w:szCs w:val="14"/>
              </w:rPr>
              <w:t>neutropenia</w:t>
            </w:r>
            <w:proofErr w:type="spellEnd"/>
            <w:r w:rsidR="006A5B3E" w:rsidRPr="00653EE7">
              <w:rPr>
                <w:sz w:val="14"/>
                <w:szCs w:val="14"/>
              </w:rPr>
              <w:t xml:space="preserve"> (1% and 9%) [2]. </w:t>
            </w:r>
          </w:p>
          <w:tbl>
            <w:tblPr>
              <w:tblStyle w:val="Grigliatabella"/>
              <w:tblW w:w="0" w:type="auto"/>
              <w:tblLayout w:type="fixed"/>
              <w:tblLook w:val="04A0"/>
            </w:tblPr>
            <w:tblGrid>
              <w:gridCol w:w="1446"/>
              <w:gridCol w:w="1134"/>
              <w:gridCol w:w="1134"/>
              <w:gridCol w:w="851"/>
              <w:gridCol w:w="1559"/>
              <w:gridCol w:w="1134"/>
            </w:tblGrid>
            <w:tr w:rsidR="002C36C9" w:rsidRPr="00653EE7" w:rsidTr="00653EE7">
              <w:tc>
                <w:tcPr>
                  <w:tcW w:w="2580" w:type="dxa"/>
                  <w:gridSpan w:val="2"/>
                </w:tcPr>
                <w:p w:rsidR="002C36C9" w:rsidRPr="00653EE7" w:rsidRDefault="002C36C9" w:rsidP="00653EE7">
                  <w:pPr>
                    <w:jc w:val="both"/>
                    <w:rPr>
                      <w:b/>
                      <w:sz w:val="14"/>
                      <w:szCs w:val="14"/>
                    </w:rPr>
                  </w:pPr>
                  <w:r w:rsidRPr="00653EE7">
                    <w:rPr>
                      <w:b/>
                      <w:sz w:val="14"/>
                      <w:szCs w:val="14"/>
                    </w:rPr>
                    <w:t>AE</w:t>
                  </w:r>
                </w:p>
              </w:tc>
              <w:tc>
                <w:tcPr>
                  <w:tcW w:w="1134" w:type="dxa"/>
                </w:tcPr>
                <w:p w:rsidR="002C36C9" w:rsidRPr="00653EE7" w:rsidRDefault="002C36C9" w:rsidP="00653EE7">
                  <w:pPr>
                    <w:jc w:val="both"/>
                    <w:rPr>
                      <w:b/>
                      <w:sz w:val="14"/>
                      <w:szCs w:val="14"/>
                    </w:rPr>
                  </w:pPr>
                  <w:r w:rsidRPr="00653EE7">
                    <w:rPr>
                      <w:b/>
                      <w:sz w:val="14"/>
                      <w:szCs w:val="14"/>
                    </w:rPr>
                    <w:t>Any</w:t>
                  </w:r>
                </w:p>
              </w:tc>
              <w:tc>
                <w:tcPr>
                  <w:tcW w:w="851" w:type="dxa"/>
                </w:tcPr>
                <w:p w:rsidR="002C36C9" w:rsidRPr="00653EE7" w:rsidRDefault="002C36C9" w:rsidP="00653EE7">
                  <w:pPr>
                    <w:jc w:val="both"/>
                    <w:rPr>
                      <w:b/>
                      <w:sz w:val="14"/>
                      <w:szCs w:val="14"/>
                    </w:rPr>
                  </w:pPr>
                  <w:r w:rsidRPr="00653EE7">
                    <w:rPr>
                      <w:b/>
                      <w:sz w:val="14"/>
                      <w:szCs w:val="14"/>
                    </w:rPr>
                    <w:t>Serious</w:t>
                  </w:r>
                </w:p>
              </w:tc>
              <w:tc>
                <w:tcPr>
                  <w:tcW w:w="1559" w:type="dxa"/>
                </w:tcPr>
                <w:p w:rsidR="002C36C9" w:rsidRPr="00653EE7" w:rsidRDefault="002C36C9" w:rsidP="00653EE7">
                  <w:pPr>
                    <w:jc w:val="both"/>
                    <w:rPr>
                      <w:b/>
                      <w:sz w:val="14"/>
                      <w:szCs w:val="14"/>
                    </w:rPr>
                  </w:pPr>
                  <w:r w:rsidRPr="00653EE7">
                    <w:rPr>
                      <w:b/>
                      <w:sz w:val="14"/>
                      <w:szCs w:val="14"/>
                    </w:rPr>
                    <w:t>Led to discontinuation</w:t>
                  </w:r>
                </w:p>
              </w:tc>
              <w:tc>
                <w:tcPr>
                  <w:tcW w:w="1134" w:type="dxa"/>
                </w:tcPr>
                <w:p w:rsidR="002C36C9" w:rsidRPr="00653EE7" w:rsidRDefault="002C36C9" w:rsidP="00653EE7">
                  <w:pPr>
                    <w:jc w:val="both"/>
                    <w:rPr>
                      <w:b/>
                      <w:sz w:val="14"/>
                      <w:szCs w:val="14"/>
                    </w:rPr>
                  </w:pPr>
                  <w:r w:rsidRPr="00653EE7">
                    <w:rPr>
                      <w:b/>
                      <w:sz w:val="14"/>
                      <w:szCs w:val="14"/>
                    </w:rPr>
                    <w:t>Led to death</w:t>
                  </w:r>
                  <w:r w:rsidR="00F96F3B" w:rsidRPr="00653EE7">
                    <w:rPr>
                      <w:b/>
                      <w:sz w:val="14"/>
                      <w:szCs w:val="14"/>
                    </w:rPr>
                    <w:t>*</w:t>
                  </w:r>
                </w:p>
              </w:tc>
            </w:tr>
            <w:tr w:rsidR="002C36C9" w:rsidRPr="00653EE7" w:rsidTr="00653EE7">
              <w:trPr>
                <w:trHeight w:val="146"/>
              </w:trPr>
              <w:tc>
                <w:tcPr>
                  <w:tcW w:w="1446" w:type="dxa"/>
                  <w:vMerge w:val="restart"/>
                </w:tcPr>
                <w:p w:rsidR="002C36C9" w:rsidRPr="00653EE7" w:rsidRDefault="002C36C9" w:rsidP="00653EE7">
                  <w:pPr>
                    <w:jc w:val="both"/>
                    <w:rPr>
                      <w:sz w:val="14"/>
                      <w:szCs w:val="14"/>
                    </w:rPr>
                  </w:pPr>
                  <w:proofErr w:type="spellStart"/>
                  <w:r w:rsidRPr="00653EE7">
                    <w:rPr>
                      <w:sz w:val="14"/>
                      <w:szCs w:val="14"/>
                    </w:rPr>
                    <w:t>Cemiplimab</w:t>
                  </w:r>
                  <w:proofErr w:type="spellEnd"/>
                  <w:r w:rsidR="00653EE7">
                    <w:rPr>
                      <w:sz w:val="14"/>
                      <w:szCs w:val="14"/>
                    </w:rPr>
                    <w:t xml:space="preserve"> </w:t>
                  </w:r>
                  <w:r w:rsidRPr="00653EE7">
                    <w:rPr>
                      <w:sz w:val="14"/>
                      <w:szCs w:val="14"/>
                    </w:rPr>
                    <w:t>n(%)</w:t>
                  </w:r>
                </w:p>
              </w:tc>
              <w:tc>
                <w:tcPr>
                  <w:tcW w:w="1134" w:type="dxa"/>
                </w:tcPr>
                <w:p w:rsidR="002C36C9" w:rsidRPr="00653EE7" w:rsidRDefault="002C36C9" w:rsidP="00653EE7">
                  <w:pPr>
                    <w:jc w:val="both"/>
                    <w:rPr>
                      <w:sz w:val="14"/>
                      <w:szCs w:val="14"/>
                    </w:rPr>
                  </w:pPr>
                  <w:r w:rsidRPr="00653EE7">
                    <w:rPr>
                      <w:sz w:val="14"/>
                      <w:szCs w:val="14"/>
                    </w:rPr>
                    <w:t>Any grade</w:t>
                  </w:r>
                </w:p>
              </w:tc>
              <w:tc>
                <w:tcPr>
                  <w:tcW w:w="1134" w:type="dxa"/>
                </w:tcPr>
                <w:p w:rsidR="002C36C9" w:rsidRPr="00653EE7" w:rsidRDefault="002C36C9" w:rsidP="00653EE7">
                  <w:pPr>
                    <w:jc w:val="both"/>
                    <w:rPr>
                      <w:sz w:val="14"/>
                      <w:szCs w:val="14"/>
                    </w:rPr>
                  </w:pPr>
                  <w:r w:rsidRPr="00653EE7">
                    <w:rPr>
                      <w:sz w:val="14"/>
                      <w:szCs w:val="14"/>
                    </w:rPr>
                    <w:t>265 (88%)</w:t>
                  </w:r>
                </w:p>
              </w:tc>
              <w:tc>
                <w:tcPr>
                  <w:tcW w:w="851" w:type="dxa"/>
                </w:tcPr>
                <w:p w:rsidR="002C36C9" w:rsidRPr="00653EE7" w:rsidRDefault="00F96F3B" w:rsidP="00653EE7">
                  <w:pPr>
                    <w:jc w:val="both"/>
                    <w:rPr>
                      <w:sz w:val="14"/>
                      <w:szCs w:val="14"/>
                    </w:rPr>
                  </w:pPr>
                  <w:r w:rsidRPr="00653EE7">
                    <w:rPr>
                      <w:sz w:val="14"/>
                      <w:szCs w:val="14"/>
                    </w:rPr>
                    <w:t>89 (30%)</w:t>
                  </w:r>
                </w:p>
              </w:tc>
              <w:tc>
                <w:tcPr>
                  <w:tcW w:w="1559" w:type="dxa"/>
                </w:tcPr>
                <w:p w:rsidR="002C36C9" w:rsidRPr="00653EE7" w:rsidRDefault="00F96F3B" w:rsidP="00653EE7">
                  <w:pPr>
                    <w:jc w:val="both"/>
                    <w:rPr>
                      <w:sz w:val="14"/>
                      <w:szCs w:val="14"/>
                    </w:rPr>
                  </w:pPr>
                  <w:r w:rsidRPr="00653EE7">
                    <w:rPr>
                      <w:sz w:val="14"/>
                      <w:szCs w:val="14"/>
                    </w:rPr>
                    <w:t>26 (9%)</w:t>
                  </w:r>
                </w:p>
              </w:tc>
              <w:tc>
                <w:tcPr>
                  <w:tcW w:w="1134" w:type="dxa"/>
                </w:tcPr>
                <w:p w:rsidR="002C36C9" w:rsidRPr="00653EE7" w:rsidRDefault="00F96F3B" w:rsidP="00653EE7">
                  <w:pPr>
                    <w:jc w:val="both"/>
                    <w:rPr>
                      <w:sz w:val="14"/>
                      <w:szCs w:val="14"/>
                    </w:rPr>
                  </w:pPr>
                  <w:r w:rsidRPr="00653EE7">
                    <w:rPr>
                      <w:sz w:val="14"/>
                      <w:szCs w:val="14"/>
                    </w:rPr>
                    <w:t>5 (2%)</w:t>
                  </w:r>
                </w:p>
              </w:tc>
            </w:tr>
            <w:tr w:rsidR="002C36C9" w:rsidRPr="00653EE7" w:rsidTr="00653EE7">
              <w:trPr>
                <w:trHeight w:val="105"/>
              </w:trPr>
              <w:tc>
                <w:tcPr>
                  <w:tcW w:w="1446" w:type="dxa"/>
                  <w:vMerge/>
                </w:tcPr>
                <w:p w:rsidR="002C36C9" w:rsidRPr="00653EE7" w:rsidRDefault="002C36C9" w:rsidP="00653EE7">
                  <w:pPr>
                    <w:jc w:val="both"/>
                    <w:rPr>
                      <w:sz w:val="14"/>
                      <w:szCs w:val="14"/>
                    </w:rPr>
                  </w:pPr>
                </w:p>
              </w:tc>
              <w:tc>
                <w:tcPr>
                  <w:tcW w:w="1134" w:type="dxa"/>
                </w:tcPr>
                <w:p w:rsidR="002C36C9" w:rsidRPr="00653EE7" w:rsidRDefault="002C36C9" w:rsidP="00653EE7">
                  <w:pPr>
                    <w:jc w:val="both"/>
                    <w:rPr>
                      <w:sz w:val="14"/>
                      <w:szCs w:val="14"/>
                    </w:rPr>
                  </w:pPr>
                  <w:r w:rsidRPr="00653EE7">
                    <w:rPr>
                      <w:sz w:val="14"/>
                      <w:szCs w:val="14"/>
                    </w:rPr>
                    <w:t>Grade 3,4 or 5</w:t>
                  </w:r>
                </w:p>
              </w:tc>
              <w:tc>
                <w:tcPr>
                  <w:tcW w:w="1134" w:type="dxa"/>
                </w:tcPr>
                <w:p w:rsidR="002C36C9" w:rsidRPr="00653EE7" w:rsidRDefault="002C36C9" w:rsidP="00653EE7">
                  <w:pPr>
                    <w:jc w:val="both"/>
                    <w:rPr>
                      <w:sz w:val="14"/>
                      <w:szCs w:val="14"/>
                    </w:rPr>
                  </w:pPr>
                  <w:r w:rsidRPr="00653EE7">
                    <w:rPr>
                      <w:sz w:val="14"/>
                      <w:szCs w:val="14"/>
                    </w:rPr>
                    <w:t>135 (30%)</w:t>
                  </w:r>
                </w:p>
              </w:tc>
              <w:tc>
                <w:tcPr>
                  <w:tcW w:w="851" w:type="dxa"/>
                </w:tcPr>
                <w:p w:rsidR="002C36C9" w:rsidRPr="00653EE7" w:rsidRDefault="00F96F3B" w:rsidP="00653EE7">
                  <w:pPr>
                    <w:jc w:val="both"/>
                    <w:rPr>
                      <w:sz w:val="14"/>
                      <w:szCs w:val="14"/>
                    </w:rPr>
                  </w:pPr>
                  <w:r w:rsidRPr="00653EE7">
                    <w:rPr>
                      <w:sz w:val="14"/>
                      <w:szCs w:val="14"/>
                    </w:rPr>
                    <w:t>69 (23%)</w:t>
                  </w:r>
                </w:p>
              </w:tc>
              <w:tc>
                <w:tcPr>
                  <w:tcW w:w="1559" w:type="dxa"/>
                </w:tcPr>
                <w:p w:rsidR="002C36C9" w:rsidRPr="00653EE7" w:rsidRDefault="00F96F3B" w:rsidP="00653EE7">
                  <w:pPr>
                    <w:jc w:val="both"/>
                    <w:rPr>
                      <w:sz w:val="14"/>
                      <w:szCs w:val="14"/>
                    </w:rPr>
                  </w:pPr>
                  <w:r w:rsidRPr="00653EE7">
                    <w:rPr>
                      <w:sz w:val="14"/>
                      <w:szCs w:val="14"/>
                    </w:rPr>
                    <w:t>20 (7%)</w:t>
                  </w:r>
                </w:p>
              </w:tc>
              <w:tc>
                <w:tcPr>
                  <w:tcW w:w="1134" w:type="dxa"/>
                </w:tcPr>
                <w:p w:rsidR="002C36C9" w:rsidRPr="00653EE7" w:rsidRDefault="00F96F3B" w:rsidP="00653EE7">
                  <w:pPr>
                    <w:jc w:val="both"/>
                    <w:rPr>
                      <w:sz w:val="14"/>
                      <w:szCs w:val="14"/>
                    </w:rPr>
                  </w:pPr>
                  <w:r w:rsidRPr="00653EE7">
                    <w:rPr>
                      <w:sz w:val="14"/>
                      <w:szCs w:val="14"/>
                    </w:rPr>
                    <w:t>5 (2%)</w:t>
                  </w:r>
                </w:p>
              </w:tc>
            </w:tr>
            <w:tr w:rsidR="002C36C9" w:rsidRPr="00653EE7" w:rsidTr="00653EE7">
              <w:trPr>
                <w:trHeight w:val="66"/>
              </w:trPr>
              <w:tc>
                <w:tcPr>
                  <w:tcW w:w="1446" w:type="dxa"/>
                  <w:vMerge w:val="restart"/>
                </w:tcPr>
                <w:p w:rsidR="002C36C9" w:rsidRPr="00653EE7" w:rsidRDefault="002C36C9" w:rsidP="00653EE7">
                  <w:pPr>
                    <w:jc w:val="both"/>
                    <w:rPr>
                      <w:sz w:val="14"/>
                      <w:szCs w:val="14"/>
                    </w:rPr>
                  </w:pPr>
                  <w:r w:rsidRPr="00653EE7">
                    <w:rPr>
                      <w:sz w:val="14"/>
                      <w:szCs w:val="14"/>
                    </w:rPr>
                    <w:t>Chemotherapy n(%)</w:t>
                  </w:r>
                </w:p>
              </w:tc>
              <w:tc>
                <w:tcPr>
                  <w:tcW w:w="1134" w:type="dxa"/>
                </w:tcPr>
                <w:p w:rsidR="002C36C9" w:rsidRPr="00653EE7" w:rsidRDefault="002C36C9" w:rsidP="00653EE7">
                  <w:pPr>
                    <w:jc w:val="both"/>
                    <w:rPr>
                      <w:sz w:val="14"/>
                      <w:szCs w:val="14"/>
                    </w:rPr>
                  </w:pPr>
                  <w:r w:rsidRPr="00653EE7">
                    <w:rPr>
                      <w:sz w:val="14"/>
                      <w:szCs w:val="14"/>
                    </w:rPr>
                    <w:t>Any Grade</w:t>
                  </w:r>
                </w:p>
              </w:tc>
              <w:tc>
                <w:tcPr>
                  <w:tcW w:w="1134" w:type="dxa"/>
                </w:tcPr>
                <w:p w:rsidR="002C36C9" w:rsidRPr="00653EE7" w:rsidRDefault="00F96F3B" w:rsidP="00653EE7">
                  <w:pPr>
                    <w:jc w:val="both"/>
                    <w:rPr>
                      <w:sz w:val="14"/>
                      <w:szCs w:val="14"/>
                    </w:rPr>
                  </w:pPr>
                  <w:r w:rsidRPr="00653EE7">
                    <w:rPr>
                      <w:sz w:val="14"/>
                      <w:szCs w:val="14"/>
                    </w:rPr>
                    <w:t>265 (91%)</w:t>
                  </w:r>
                </w:p>
              </w:tc>
              <w:tc>
                <w:tcPr>
                  <w:tcW w:w="851" w:type="dxa"/>
                </w:tcPr>
                <w:p w:rsidR="002C36C9" w:rsidRPr="00653EE7" w:rsidRDefault="00F96F3B" w:rsidP="00653EE7">
                  <w:pPr>
                    <w:jc w:val="both"/>
                    <w:rPr>
                      <w:sz w:val="14"/>
                      <w:szCs w:val="14"/>
                    </w:rPr>
                  </w:pPr>
                  <w:r w:rsidRPr="00653EE7">
                    <w:rPr>
                      <w:sz w:val="14"/>
                      <w:szCs w:val="14"/>
                    </w:rPr>
                    <w:t>78 (27%)</w:t>
                  </w:r>
                </w:p>
              </w:tc>
              <w:tc>
                <w:tcPr>
                  <w:tcW w:w="1559" w:type="dxa"/>
                </w:tcPr>
                <w:p w:rsidR="002C36C9" w:rsidRPr="00653EE7" w:rsidRDefault="00F96F3B" w:rsidP="00653EE7">
                  <w:pPr>
                    <w:jc w:val="both"/>
                    <w:rPr>
                      <w:sz w:val="14"/>
                      <w:szCs w:val="14"/>
                    </w:rPr>
                  </w:pPr>
                  <w:r w:rsidRPr="00653EE7">
                    <w:rPr>
                      <w:sz w:val="14"/>
                      <w:szCs w:val="14"/>
                    </w:rPr>
                    <w:t>15 (5%)</w:t>
                  </w:r>
                </w:p>
              </w:tc>
              <w:tc>
                <w:tcPr>
                  <w:tcW w:w="1134" w:type="dxa"/>
                </w:tcPr>
                <w:p w:rsidR="002C36C9" w:rsidRPr="00653EE7" w:rsidRDefault="00F96F3B" w:rsidP="00653EE7">
                  <w:pPr>
                    <w:jc w:val="both"/>
                    <w:rPr>
                      <w:sz w:val="14"/>
                      <w:szCs w:val="14"/>
                    </w:rPr>
                  </w:pPr>
                  <w:r w:rsidRPr="00653EE7">
                    <w:rPr>
                      <w:sz w:val="14"/>
                      <w:szCs w:val="14"/>
                    </w:rPr>
                    <w:t>2 (1%)</w:t>
                  </w:r>
                </w:p>
              </w:tc>
            </w:tr>
            <w:tr w:rsidR="002C36C9" w:rsidRPr="00653EE7" w:rsidTr="00653EE7">
              <w:trPr>
                <w:trHeight w:val="168"/>
              </w:trPr>
              <w:tc>
                <w:tcPr>
                  <w:tcW w:w="1446" w:type="dxa"/>
                  <w:vMerge/>
                </w:tcPr>
                <w:p w:rsidR="002C36C9" w:rsidRPr="00653EE7" w:rsidRDefault="002C36C9" w:rsidP="00653EE7">
                  <w:pPr>
                    <w:jc w:val="both"/>
                    <w:rPr>
                      <w:sz w:val="14"/>
                      <w:szCs w:val="14"/>
                    </w:rPr>
                  </w:pPr>
                </w:p>
              </w:tc>
              <w:tc>
                <w:tcPr>
                  <w:tcW w:w="1134" w:type="dxa"/>
                </w:tcPr>
                <w:p w:rsidR="002C36C9" w:rsidRPr="00653EE7" w:rsidRDefault="002C36C9" w:rsidP="00653EE7">
                  <w:pPr>
                    <w:jc w:val="both"/>
                    <w:rPr>
                      <w:sz w:val="14"/>
                      <w:szCs w:val="14"/>
                    </w:rPr>
                  </w:pPr>
                  <w:r w:rsidRPr="00653EE7">
                    <w:rPr>
                      <w:sz w:val="14"/>
                      <w:szCs w:val="14"/>
                    </w:rPr>
                    <w:t>Grade 3,4 or 5</w:t>
                  </w:r>
                </w:p>
              </w:tc>
              <w:tc>
                <w:tcPr>
                  <w:tcW w:w="1134" w:type="dxa"/>
                </w:tcPr>
                <w:p w:rsidR="002C36C9" w:rsidRPr="00653EE7" w:rsidRDefault="00F96F3B" w:rsidP="00653EE7">
                  <w:pPr>
                    <w:jc w:val="both"/>
                    <w:rPr>
                      <w:sz w:val="14"/>
                      <w:szCs w:val="14"/>
                    </w:rPr>
                  </w:pPr>
                  <w:r w:rsidRPr="00653EE7">
                    <w:rPr>
                      <w:sz w:val="14"/>
                      <w:szCs w:val="14"/>
                    </w:rPr>
                    <w:t>155 (53%)</w:t>
                  </w:r>
                </w:p>
              </w:tc>
              <w:tc>
                <w:tcPr>
                  <w:tcW w:w="851" w:type="dxa"/>
                </w:tcPr>
                <w:p w:rsidR="002C36C9" w:rsidRPr="00653EE7" w:rsidRDefault="00F96F3B" w:rsidP="00653EE7">
                  <w:pPr>
                    <w:jc w:val="both"/>
                    <w:rPr>
                      <w:sz w:val="14"/>
                      <w:szCs w:val="14"/>
                    </w:rPr>
                  </w:pPr>
                  <w:r w:rsidRPr="00653EE7">
                    <w:rPr>
                      <w:sz w:val="14"/>
                      <w:szCs w:val="14"/>
                    </w:rPr>
                    <w:t>64 (22%)</w:t>
                  </w:r>
                </w:p>
              </w:tc>
              <w:tc>
                <w:tcPr>
                  <w:tcW w:w="1559" w:type="dxa"/>
                </w:tcPr>
                <w:p w:rsidR="002C36C9" w:rsidRPr="00653EE7" w:rsidRDefault="00F96F3B" w:rsidP="00653EE7">
                  <w:pPr>
                    <w:jc w:val="both"/>
                    <w:rPr>
                      <w:sz w:val="14"/>
                      <w:szCs w:val="14"/>
                    </w:rPr>
                  </w:pPr>
                  <w:r w:rsidRPr="00653EE7">
                    <w:rPr>
                      <w:sz w:val="14"/>
                      <w:szCs w:val="14"/>
                    </w:rPr>
                    <w:t>11 (4%)</w:t>
                  </w:r>
                </w:p>
              </w:tc>
              <w:tc>
                <w:tcPr>
                  <w:tcW w:w="1134" w:type="dxa"/>
                </w:tcPr>
                <w:p w:rsidR="002C36C9" w:rsidRPr="00653EE7" w:rsidRDefault="00F96F3B" w:rsidP="00653EE7">
                  <w:pPr>
                    <w:jc w:val="both"/>
                    <w:rPr>
                      <w:sz w:val="14"/>
                      <w:szCs w:val="14"/>
                    </w:rPr>
                  </w:pPr>
                  <w:r w:rsidRPr="00653EE7">
                    <w:rPr>
                      <w:sz w:val="14"/>
                      <w:szCs w:val="14"/>
                    </w:rPr>
                    <w:t>2 (1%)</w:t>
                  </w:r>
                </w:p>
              </w:tc>
            </w:tr>
          </w:tbl>
          <w:p w:rsidR="00DC42F5" w:rsidRPr="00653EE7" w:rsidRDefault="00F96F3B" w:rsidP="00653EE7">
            <w:pPr>
              <w:jc w:val="both"/>
              <w:rPr>
                <w:sz w:val="14"/>
                <w:szCs w:val="14"/>
              </w:rPr>
            </w:pPr>
            <w:r w:rsidRPr="00653EE7">
              <w:rPr>
                <w:sz w:val="14"/>
                <w:szCs w:val="14"/>
              </w:rPr>
              <w:t xml:space="preserve">*None of AE leading to death were considered by the treating investigator to be related to </w:t>
            </w:r>
            <w:proofErr w:type="spellStart"/>
            <w:r w:rsidRPr="00653EE7">
              <w:rPr>
                <w:sz w:val="14"/>
                <w:szCs w:val="14"/>
              </w:rPr>
              <w:t>cemiplimab</w:t>
            </w:r>
            <w:proofErr w:type="spellEnd"/>
            <w:r w:rsidRPr="00653EE7">
              <w:rPr>
                <w:sz w:val="14"/>
                <w:szCs w:val="14"/>
              </w:rPr>
              <w:t xml:space="preserve">. </w:t>
            </w:r>
          </w:p>
          <w:p w:rsidR="00DC42F5" w:rsidRPr="00653EE7" w:rsidRDefault="00DC42F5" w:rsidP="00653EE7">
            <w:pPr>
              <w:jc w:val="both"/>
              <w:rPr>
                <w:b/>
                <w:sz w:val="14"/>
                <w:szCs w:val="14"/>
              </w:rPr>
            </w:pPr>
          </w:p>
          <w:p w:rsidR="00DC42F5" w:rsidRPr="00653EE7" w:rsidRDefault="00190DBE" w:rsidP="00653EE7">
            <w:pPr>
              <w:jc w:val="both"/>
              <w:rPr>
                <w:b/>
                <w:sz w:val="14"/>
                <w:szCs w:val="14"/>
              </w:rPr>
            </w:pPr>
            <w:r w:rsidRPr="00653EE7">
              <w:rPr>
                <w:b/>
                <w:sz w:val="14"/>
                <w:szCs w:val="14"/>
              </w:rPr>
              <w:t>Ongoing studies:</w:t>
            </w:r>
          </w:p>
          <w:p w:rsidR="00DC42F5" w:rsidRPr="00653EE7" w:rsidRDefault="00190DBE" w:rsidP="00653EE7">
            <w:pPr>
              <w:numPr>
                <w:ilvl w:val="0"/>
                <w:numId w:val="1"/>
              </w:numPr>
              <w:pBdr>
                <w:top w:val="nil"/>
                <w:left w:val="nil"/>
                <w:bottom w:val="nil"/>
                <w:right w:val="nil"/>
                <w:between w:val="nil"/>
              </w:pBdr>
              <w:spacing w:line="276" w:lineRule="auto"/>
              <w:jc w:val="both"/>
              <w:rPr>
                <w:b/>
                <w:i/>
                <w:color w:val="000000"/>
                <w:sz w:val="14"/>
                <w:szCs w:val="14"/>
              </w:rPr>
            </w:pPr>
            <w:r w:rsidRPr="00653EE7">
              <w:rPr>
                <w:b/>
                <w:i/>
                <w:color w:val="000000"/>
                <w:sz w:val="14"/>
                <w:szCs w:val="14"/>
              </w:rPr>
              <w:t>For the same indication:</w:t>
            </w:r>
            <w:r w:rsidR="004F5740" w:rsidRPr="00653EE7">
              <w:rPr>
                <w:color w:val="000000"/>
                <w:sz w:val="14"/>
                <w:szCs w:val="14"/>
              </w:rPr>
              <w:t>Yes</w:t>
            </w:r>
          </w:p>
          <w:p w:rsidR="00DC42F5" w:rsidRPr="00653EE7" w:rsidRDefault="00190DBE" w:rsidP="00653EE7">
            <w:pPr>
              <w:numPr>
                <w:ilvl w:val="0"/>
                <w:numId w:val="1"/>
              </w:numPr>
              <w:pBdr>
                <w:top w:val="nil"/>
                <w:left w:val="nil"/>
                <w:bottom w:val="nil"/>
                <w:right w:val="nil"/>
                <w:between w:val="nil"/>
              </w:pBdr>
              <w:spacing w:after="200" w:line="276" w:lineRule="auto"/>
              <w:jc w:val="both"/>
              <w:rPr>
                <w:b/>
                <w:color w:val="000000"/>
                <w:sz w:val="14"/>
                <w:szCs w:val="14"/>
              </w:rPr>
            </w:pPr>
            <w:r w:rsidRPr="00653EE7">
              <w:rPr>
                <w:b/>
                <w:i/>
                <w:color w:val="000000"/>
                <w:sz w:val="14"/>
                <w:szCs w:val="14"/>
              </w:rPr>
              <w:t xml:space="preserve">For other </w:t>
            </w:r>
            <w:proofErr w:type="spellStart"/>
            <w:r w:rsidRPr="00653EE7">
              <w:rPr>
                <w:b/>
                <w:i/>
                <w:color w:val="000000"/>
                <w:sz w:val="14"/>
                <w:szCs w:val="14"/>
              </w:rPr>
              <w:t>indications:</w:t>
            </w:r>
            <w:r w:rsidR="004F5740" w:rsidRPr="00653EE7">
              <w:rPr>
                <w:color w:val="000000"/>
                <w:sz w:val="14"/>
                <w:szCs w:val="14"/>
              </w:rPr>
              <w:t>Yes</w:t>
            </w:r>
            <w:proofErr w:type="spellEnd"/>
            <w:r w:rsidR="004F5740" w:rsidRPr="00653EE7">
              <w:rPr>
                <w:color w:val="000000"/>
                <w:sz w:val="14"/>
                <w:szCs w:val="14"/>
              </w:rPr>
              <w:t xml:space="preserve"> </w:t>
            </w:r>
            <w:r w:rsidR="006A5B3E" w:rsidRPr="00653EE7">
              <w:rPr>
                <w:color w:val="000000"/>
                <w:sz w:val="14"/>
                <w:szCs w:val="14"/>
              </w:rPr>
              <w:t>[3].</w:t>
            </w:r>
          </w:p>
          <w:p w:rsidR="00DC42F5" w:rsidRPr="00653EE7" w:rsidRDefault="00190DBE" w:rsidP="00653EE7">
            <w:pPr>
              <w:jc w:val="both"/>
              <w:rPr>
                <w:sz w:val="14"/>
                <w:szCs w:val="14"/>
              </w:rPr>
            </w:pPr>
            <w:r w:rsidRPr="00653EE7">
              <w:rPr>
                <w:b/>
                <w:sz w:val="14"/>
                <w:szCs w:val="14"/>
              </w:rPr>
              <w:t>Discontinued studies (for the same indication):</w:t>
            </w:r>
            <w:r w:rsidR="006A5B3E" w:rsidRPr="00653EE7">
              <w:rPr>
                <w:b/>
                <w:sz w:val="14"/>
                <w:szCs w:val="14"/>
              </w:rPr>
              <w:t xml:space="preserve"> </w:t>
            </w:r>
            <w:r w:rsidR="004F5740" w:rsidRPr="00653EE7">
              <w:rPr>
                <w:sz w:val="14"/>
                <w:szCs w:val="14"/>
              </w:rPr>
              <w:t>No</w:t>
            </w:r>
          </w:p>
        </w:tc>
        <w:tc>
          <w:tcPr>
            <w:tcW w:w="4230" w:type="dxa"/>
          </w:tcPr>
          <w:p w:rsidR="00DC42F5" w:rsidRPr="00653EE7" w:rsidRDefault="00190DBE" w:rsidP="00653EE7">
            <w:pPr>
              <w:jc w:val="both"/>
              <w:rPr>
                <w:b/>
                <w:sz w:val="14"/>
                <w:szCs w:val="14"/>
              </w:rPr>
            </w:pPr>
            <w:r w:rsidRPr="00653EE7">
              <w:rPr>
                <w:b/>
                <w:sz w:val="14"/>
                <w:szCs w:val="14"/>
              </w:rPr>
              <w:t>Cost of therapy:</w:t>
            </w:r>
          </w:p>
          <w:p w:rsidR="006A5B3E" w:rsidRPr="00653EE7" w:rsidRDefault="006A5B3E" w:rsidP="00653EE7">
            <w:pPr>
              <w:jc w:val="both"/>
              <w:rPr>
                <w:sz w:val="14"/>
                <w:szCs w:val="14"/>
              </w:rPr>
            </w:pPr>
            <w:r w:rsidRPr="00653EE7">
              <w:rPr>
                <w:sz w:val="14"/>
                <w:szCs w:val="14"/>
              </w:rPr>
              <w:t xml:space="preserve">In Italy, the cost for </w:t>
            </w:r>
            <w:proofErr w:type="spellStart"/>
            <w:r w:rsidRPr="00653EE7">
              <w:rPr>
                <w:sz w:val="14"/>
                <w:szCs w:val="14"/>
              </w:rPr>
              <w:t>Libtayo</w:t>
            </w:r>
            <w:proofErr w:type="spellEnd"/>
            <w:r w:rsidRPr="00653EE7">
              <w:rPr>
                <w:sz w:val="14"/>
                <w:szCs w:val="14"/>
              </w:rPr>
              <w:t xml:space="preserve">® 1 vial </w:t>
            </w:r>
            <w:proofErr w:type="spellStart"/>
            <w:r w:rsidRPr="00653EE7">
              <w:rPr>
                <w:sz w:val="14"/>
                <w:szCs w:val="14"/>
              </w:rPr>
              <w:t>ev</w:t>
            </w:r>
            <w:proofErr w:type="spellEnd"/>
            <w:r w:rsidRPr="00653EE7">
              <w:rPr>
                <w:sz w:val="14"/>
                <w:szCs w:val="14"/>
              </w:rPr>
              <w:t xml:space="preserve"> 350 mg is 6,626,25€ (ex-factory price) [4].</w:t>
            </w:r>
          </w:p>
          <w:p w:rsidR="006A5B3E" w:rsidRPr="00653EE7" w:rsidRDefault="006A5B3E" w:rsidP="00653EE7">
            <w:pPr>
              <w:jc w:val="both"/>
              <w:rPr>
                <w:sz w:val="14"/>
                <w:szCs w:val="14"/>
              </w:rPr>
            </w:pPr>
          </w:p>
          <w:p w:rsidR="00DC42F5" w:rsidRPr="00653EE7" w:rsidRDefault="00190DBE" w:rsidP="00653EE7">
            <w:pPr>
              <w:jc w:val="both"/>
              <w:rPr>
                <w:b/>
                <w:sz w:val="14"/>
                <w:szCs w:val="14"/>
              </w:rPr>
            </w:pPr>
            <w:r w:rsidRPr="00653EE7">
              <w:rPr>
                <w:b/>
                <w:sz w:val="14"/>
                <w:szCs w:val="14"/>
              </w:rPr>
              <w:t>Epidemiology:</w:t>
            </w:r>
          </w:p>
          <w:p w:rsidR="006A5B3E" w:rsidRPr="00653EE7" w:rsidRDefault="006A5B3E" w:rsidP="00653EE7">
            <w:pPr>
              <w:jc w:val="both"/>
              <w:rPr>
                <w:sz w:val="14"/>
                <w:szCs w:val="14"/>
              </w:rPr>
            </w:pPr>
            <w:r w:rsidRPr="00653EE7">
              <w:rPr>
                <w:sz w:val="14"/>
                <w:szCs w:val="14"/>
              </w:rPr>
              <w:t>In Italy, cervical cancer represents the fifth most frequent cancer in women under 50 years of age and overall 1.3% of all those diagnosed</w:t>
            </w:r>
            <w:r w:rsidR="00690B73" w:rsidRPr="00653EE7">
              <w:rPr>
                <w:sz w:val="14"/>
                <w:szCs w:val="14"/>
              </w:rPr>
              <w:t xml:space="preserve"> [5]. </w:t>
            </w:r>
          </w:p>
          <w:p w:rsidR="00DC42F5" w:rsidRPr="00653EE7" w:rsidRDefault="00190DBE" w:rsidP="00653EE7">
            <w:pPr>
              <w:jc w:val="both"/>
              <w:rPr>
                <w:sz w:val="14"/>
                <w:szCs w:val="14"/>
                <w:lang w:val="it-IT"/>
              </w:rPr>
            </w:pPr>
            <w:r w:rsidRPr="00653EE7">
              <w:rPr>
                <w:sz w:val="14"/>
                <w:szCs w:val="14"/>
                <w:lang w:val="it-IT"/>
              </w:rPr>
              <w:t>-----</w:t>
            </w:r>
          </w:p>
          <w:p w:rsidR="00DC42F5" w:rsidRPr="00653EE7" w:rsidRDefault="00190DBE" w:rsidP="00653EE7">
            <w:pPr>
              <w:jc w:val="both"/>
              <w:rPr>
                <w:b/>
                <w:sz w:val="14"/>
                <w:szCs w:val="14"/>
                <w:lang w:val="it-IT"/>
              </w:rPr>
            </w:pPr>
            <w:r w:rsidRPr="00653EE7">
              <w:rPr>
                <w:b/>
                <w:sz w:val="14"/>
                <w:szCs w:val="14"/>
                <w:lang w:val="it-IT"/>
              </w:rPr>
              <w:t>POSSIBLE PLACE IN THERAPY</w:t>
            </w:r>
          </w:p>
          <w:p w:rsidR="001D381E" w:rsidRPr="00653EE7" w:rsidRDefault="001D381E" w:rsidP="00653EE7">
            <w:pPr>
              <w:jc w:val="both"/>
              <w:rPr>
                <w:sz w:val="14"/>
                <w:szCs w:val="14"/>
              </w:rPr>
            </w:pPr>
            <w:proofErr w:type="spellStart"/>
            <w:r w:rsidRPr="00653EE7">
              <w:rPr>
                <w:sz w:val="14"/>
                <w:szCs w:val="14"/>
              </w:rPr>
              <w:t>Pembrolizumab</w:t>
            </w:r>
            <w:proofErr w:type="spellEnd"/>
            <w:r w:rsidRPr="00653EE7">
              <w:rPr>
                <w:sz w:val="14"/>
                <w:szCs w:val="14"/>
              </w:rPr>
              <w:t xml:space="preserve"> in combination with chemotherapy with or without </w:t>
            </w:r>
            <w:proofErr w:type="spellStart"/>
            <w:r w:rsidRPr="00653EE7">
              <w:rPr>
                <w:sz w:val="14"/>
                <w:szCs w:val="14"/>
              </w:rPr>
              <w:t>bevacizumab</w:t>
            </w:r>
            <w:proofErr w:type="spellEnd"/>
            <w:r w:rsidRPr="00653EE7">
              <w:rPr>
                <w:sz w:val="14"/>
                <w:szCs w:val="14"/>
              </w:rPr>
              <w:t xml:space="preserve"> is approved in Italy for the treatment of persistent, recurrent or metastatic cervical cancer in adults with PDL-1 expressing tumor (score &gt;1) [5-6].</w:t>
            </w:r>
          </w:p>
          <w:p w:rsidR="00DC42F5" w:rsidRPr="00653EE7" w:rsidRDefault="00DC42F5" w:rsidP="00653EE7">
            <w:pPr>
              <w:jc w:val="both"/>
              <w:rPr>
                <w:sz w:val="14"/>
                <w:szCs w:val="14"/>
              </w:rPr>
            </w:pPr>
          </w:p>
          <w:p w:rsidR="00DC42F5" w:rsidRPr="00653EE7" w:rsidRDefault="00190DBE" w:rsidP="00653EE7">
            <w:pPr>
              <w:jc w:val="both"/>
              <w:rPr>
                <w:b/>
                <w:sz w:val="14"/>
                <w:szCs w:val="14"/>
              </w:rPr>
            </w:pPr>
            <w:r w:rsidRPr="00653EE7">
              <w:rPr>
                <w:b/>
                <w:sz w:val="14"/>
                <w:szCs w:val="14"/>
              </w:rPr>
              <w:t>OTHER INDICATIONS IN DEVELOPMENT</w:t>
            </w:r>
          </w:p>
          <w:p w:rsidR="00761F3B" w:rsidRPr="00653EE7" w:rsidRDefault="00F073BC" w:rsidP="00653EE7">
            <w:pPr>
              <w:jc w:val="both"/>
              <w:rPr>
                <w:sz w:val="14"/>
                <w:szCs w:val="14"/>
              </w:rPr>
            </w:pPr>
            <w:r w:rsidRPr="00653EE7">
              <w:rPr>
                <w:sz w:val="14"/>
                <w:szCs w:val="14"/>
              </w:rPr>
              <w:t xml:space="preserve">Basal cell cancer, Glioblastoma, Head and neck cancer, Liver cancer, Malignant melanoma, Non-small cell lung cancer, Oropharyngeal cancer, Prostate cancer, </w:t>
            </w:r>
            <w:proofErr w:type="spellStart"/>
            <w:r w:rsidRPr="00653EE7">
              <w:rPr>
                <w:sz w:val="14"/>
                <w:szCs w:val="14"/>
              </w:rPr>
              <w:t>Squamous</w:t>
            </w:r>
            <w:proofErr w:type="spellEnd"/>
            <w:r w:rsidRPr="00653EE7">
              <w:rPr>
                <w:sz w:val="14"/>
                <w:szCs w:val="14"/>
              </w:rPr>
              <w:t xml:space="preserve"> cell cancer</w:t>
            </w:r>
            <w:r w:rsidR="00690B73" w:rsidRPr="00653EE7">
              <w:rPr>
                <w:sz w:val="14"/>
                <w:szCs w:val="14"/>
              </w:rPr>
              <w:t xml:space="preserve"> [7]. </w:t>
            </w:r>
          </w:p>
          <w:p w:rsidR="00DC42F5" w:rsidRPr="00653EE7" w:rsidRDefault="00DC42F5" w:rsidP="00653EE7">
            <w:pPr>
              <w:jc w:val="both"/>
              <w:rPr>
                <w:b/>
                <w:sz w:val="14"/>
                <w:szCs w:val="14"/>
              </w:rPr>
            </w:pPr>
          </w:p>
          <w:p w:rsidR="00DC42F5" w:rsidRPr="00653EE7" w:rsidRDefault="00190DBE" w:rsidP="00653EE7">
            <w:pPr>
              <w:jc w:val="both"/>
              <w:rPr>
                <w:sz w:val="14"/>
                <w:szCs w:val="14"/>
              </w:rPr>
            </w:pPr>
            <w:r w:rsidRPr="00653EE7">
              <w:rPr>
                <w:b/>
                <w:sz w:val="14"/>
                <w:szCs w:val="14"/>
              </w:rPr>
              <w:t>SAME INDICATION IN EARLIER LINE(S) OF TREATMENT:</w:t>
            </w:r>
            <w:r w:rsidR="00F073BC" w:rsidRPr="00653EE7">
              <w:rPr>
                <w:sz w:val="14"/>
                <w:szCs w:val="14"/>
              </w:rPr>
              <w:t>No</w:t>
            </w:r>
          </w:p>
          <w:p w:rsidR="00DC42F5" w:rsidRPr="00653EE7" w:rsidRDefault="00DC42F5" w:rsidP="00653EE7">
            <w:pPr>
              <w:jc w:val="both"/>
              <w:rPr>
                <w:sz w:val="14"/>
                <w:szCs w:val="14"/>
              </w:rPr>
            </w:pPr>
          </w:p>
          <w:p w:rsidR="00DC42F5" w:rsidRPr="00653EE7" w:rsidRDefault="00190DBE" w:rsidP="00653EE7">
            <w:pPr>
              <w:jc w:val="both"/>
              <w:rPr>
                <w:b/>
                <w:sz w:val="14"/>
                <w:szCs w:val="14"/>
              </w:rPr>
            </w:pPr>
            <w:r w:rsidRPr="00653EE7">
              <w:rPr>
                <w:b/>
                <w:sz w:val="14"/>
                <w:szCs w:val="14"/>
              </w:rPr>
              <w:t>OTHER DRUGS IN DEVE</w:t>
            </w:r>
            <w:r w:rsidR="00653EE7" w:rsidRPr="00653EE7">
              <w:rPr>
                <w:b/>
                <w:sz w:val="14"/>
                <w:szCs w:val="14"/>
              </w:rPr>
              <w:t>LOPMENT for the SAME INDICATION:</w:t>
            </w:r>
          </w:p>
          <w:p w:rsidR="00653EE7" w:rsidRPr="00653EE7" w:rsidRDefault="00653EE7" w:rsidP="00653EE7">
            <w:pPr>
              <w:jc w:val="both"/>
              <w:rPr>
                <w:sz w:val="14"/>
                <w:szCs w:val="14"/>
              </w:rPr>
            </w:pPr>
            <w:proofErr w:type="spellStart"/>
            <w:r w:rsidRPr="00653EE7">
              <w:rPr>
                <w:sz w:val="14"/>
                <w:szCs w:val="14"/>
              </w:rPr>
              <w:t>Tisotumab</w:t>
            </w:r>
            <w:proofErr w:type="spellEnd"/>
            <w:r w:rsidRPr="00653EE7">
              <w:rPr>
                <w:sz w:val="14"/>
                <w:szCs w:val="14"/>
              </w:rPr>
              <w:t xml:space="preserve"> </w:t>
            </w:r>
            <w:proofErr w:type="spellStart"/>
            <w:r w:rsidRPr="00653EE7">
              <w:rPr>
                <w:sz w:val="14"/>
                <w:szCs w:val="14"/>
              </w:rPr>
              <w:t>vedotin</w:t>
            </w:r>
            <w:proofErr w:type="spellEnd"/>
          </w:p>
          <w:p w:rsidR="00DC42F5" w:rsidRPr="00653EE7" w:rsidRDefault="00DC42F5" w:rsidP="00653EE7">
            <w:pPr>
              <w:jc w:val="both"/>
              <w:rPr>
                <w:sz w:val="14"/>
                <w:szCs w:val="14"/>
              </w:rPr>
            </w:pPr>
            <w:bookmarkStart w:id="0" w:name="_GoBack"/>
            <w:bookmarkEnd w:id="0"/>
          </w:p>
          <w:p w:rsidR="00F073BC" w:rsidRPr="00653EE7" w:rsidRDefault="00F073BC" w:rsidP="00653EE7">
            <w:pPr>
              <w:jc w:val="both"/>
              <w:rPr>
                <w:sz w:val="14"/>
                <w:szCs w:val="14"/>
              </w:rPr>
            </w:pPr>
          </w:p>
          <w:p w:rsidR="00DC42F5" w:rsidRPr="00653EE7" w:rsidRDefault="00190DBE" w:rsidP="00653EE7">
            <w:pPr>
              <w:jc w:val="both"/>
              <w:rPr>
                <w:sz w:val="14"/>
                <w:szCs w:val="14"/>
              </w:rPr>
            </w:pPr>
            <w:r w:rsidRPr="00653EE7">
              <w:rPr>
                <w:sz w:val="14"/>
                <w:szCs w:val="14"/>
              </w:rPr>
              <w:t>*Service reorganization</w:t>
            </w:r>
            <w:r w:rsidR="001D381E" w:rsidRPr="00653EE7">
              <w:rPr>
                <w:sz w:val="14"/>
                <w:szCs w:val="14"/>
              </w:rPr>
              <w:t>: No</w:t>
            </w:r>
          </w:p>
          <w:p w:rsidR="00DC42F5" w:rsidRPr="00653EE7" w:rsidRDefault="001D381E" w:rsidP="00653EE7">
            <w:pPr>
              <w:jc w:val="both"/>
              <w:rPr>
                <w:sz w:val="14"/>
                <w:szCs w:val="14"/>
              </w:rPr>
            </w:pPr>
            <w:r w:rsidRPr="00653EE7">
              <w:rPr>
                <w:sz w:val="14"/>
                <w:szCs w:val="14"/>
              </w:rPr>
              <w:t>*Possible off label use: No</w:t>
            </w:r>
          </w:p>
          <w:p w:rsidR="00DC42F5" w:rsidRPr="00653EE7" w:rsidRDefault="00DC42F5">
            <w:pPr>
              <w:rPr>
                <w:sz w:val="14"/>
                <w:szCs w:val="14"/>
              </w:rPr>
            </w:pPr>
          </w:p>
          <w:p w:rsidR="00DC42F5" w:rsidRPr="00653EE7" w:rsidRDefault="00190DBE">
            <w:pPr>
              <w:rPr>
                <w:b/>
                <w:sz w:val="14"/>
                <w:szCs w:val="14"/>
              </w:rPr>
            </w:pPr>
            <w:r w:rsidRPr="00653EE7">
              <w:rPr>
                <w:sz w:val="14"/>
                <w:szCs w:val="14"/>
              </w:rPr>
              <w:t>-----</w:t>
            </w:r>
            <w:r w:rsidRPr="00653EE7">
              <w:rPr>
                <w:sz w:val="14"/>
                <w:szCs w:val="14"/>
              </w:rPr>
              <w:br/>
            </w:r>
            <w:r w:rsidRPr="00653EE7">
              <w:rPr>
                <w:b/>
                <w:sz w:val="14"/>
                <w:szCs w:val="14"/>
              </w:rPr>
              <w:t>References:</w:t>
            </w:r>
          </w:p>
          <w:p w:rsidR="001E31CC" w:rsidRPr="00653EE7" w:rsidRDefault="001E31CC">
            <w:pPr>
              <w:rPr>
                <w:rFonts w:asciiTheme="minorHAnsi" w:hAnsiTheme="minorHAnsi"/>
                <w:sz w:val="10"/>
                <w:szCs w:val="10"/>
              </w:rPr>
            </w:pPr>
            <w:r w:rsidRPr="00653EE7">
              <w:rPr>
                <w:rFonts w:asciiTheme="minorHAnsi" w:hAnsiTheme="minorHAnsi"/>
                <w:sz w:val="10"/>
                <w:szCs w:val="10"/>
              </w:rPr>
              <w:t xml:space="preserve">[1]. </w:t>
            </w:r>
            <w:hyperlink r:id="rId8" w:history="1">
              <w:r w:rsidRPr="00653EE7">
                <w:rPr>
                  <w:rStyle w:val="Collegamentoipertestuale"/>
                  <w:rFonts w:asciiTheme="minorHAnsi" w:hAnsiTheme="minorHAnsi"/>
                  <w:sz w:val="10"/>
                  <w:szCs w:val="10"/>
                </w:rPr>
                <w:t>https://www.ema.europa.eu/en/medicines/human/summaries-opinion/libtayo-0</w:t>
              </w:r>
            </w:hyperlink>
          </w:p>
          <w:p w:rsidR="001E31CC" w:rsidRPr="00653EE7" w:rsidRDefault="006A5B3E">
            <w:pPr>
              <w:rPr>
                <w:rFonts w:asciiTheme="minorHAnsi" w:hAnsiTheme="minorHAnsi"/>
                <w:sz w:val="10"/>
                <w:szCs w:val="10"/>
              </w:rPr>
            </w:pPr>
            <w:r w:rsidRPr="00653EE7">
              <w:rPr>
                <w:rFonts w:asciiTheme="minorHAnsi" w:hAnsiTheme="minorHAnsi"/>
                <w:sz w:val="10"/>
                <w:szCs w:val="10"/>
              </w:rPr>
              <w:t xml:space="preserve">[2]. </w:t>
            </w:r>
            <w:hyperlink r:id="rId9" w:tgtFrame="_blank" w:tooltip="Persistent link using digital object identifier" w:history="1">
              <w:r w:rsidRPr="00653EE7">
                <w:rPr>
                  <w:rStyle w:val="Collegamentoipertestuale"/>
                  <w:rFonts w:asciiTheme="minorHAnsi" w:hAnsiTheme="minorHAnsi"/>
                  <w:sz w:val="10"/>
                  <w:szCs w:val="10"/>
                </w:rPr>
                <w:t>https://doi.org/10.1016/j.annonc.2021.04.009</w:t>
              </w:r>
            </w:hyperlink>
          </w:p>
          <w:p w:rsidR="006A5B3E" w:rsidRPr="00653EE7" w:rsidRDefault="006A5B3E" w:rsidP="006A5B3E">
            <w:pPr>
              <w:rPr>
                <w:rFonts w:asciiTheme="minorHAnsi" w:hAnsiTheme="minorHAnsi"/>
                <w:b/>
                <w:sz w:val="10"/>
                <w:szCs w:val="10"/>
              </w:rPr>
            </w:pPr>
            <w:r w:rsidRPr="00653EE7">
              <w:rPr>
                <w:rFonts w:asciiTheme="minorHAnsi" w:hAnsiTheme="minorHAnsi"/>
                <w:sz w:val="10"/>
                <w:szCs w:val="10"/>
              </w:rPr>
              <w:t xml:space="preserve">[3]. </w:t>
            </w:r>
            <w:hyperlink r:id="rId10" w:history="1">
              <w:r w:rsidRPr="00653EE7">
                <w:rPr>
                  <w:rStyle w:val="Collegamentoipertestuale"/>
                  <w:rFonts w:asciiTheme="minorHAnsi" w:hAnsiTheme="minorHAnsi"/>
                  <w:sz w:val="10"/>
                  <w:szCs w:val="10"/>
                </w:rPr>
                <w:t>https://adisinsight.springer.com/drugs/800042079</w:t>
              </w:r>
            </w:hyperlink>
          </w:p>
          <w:p w:rsidR="006A5B3E" w:rsidRPr="00653EE7" w:rsidRDefault="006A5B3E">
            <w:pPr>
              <w:rPr>
                <w:rFonts w:asciiTheme="minorHAnsi" w:hAnsiTheme="minorHAnsi"/>
                <w:sz w:val="10"/>
                <w:szCs w:val="10"/>
              </w:rPr>
            </w:pPr>
            <w:r w:rsidRPr="00653EE7">
              <w:rPr>
                <w:rFonts w:asciiTheme="minorHAnsi" w:hAnsiTheme="minorHAnsi"/>
                <w:sz w:val="10"/>
                <w:szCs w:val="10"/>
              </w:rPr>
              <w:t xml:space="preserve">[4]. </w:t>
            </w:r>
            <w:hyperlink r:id="rId11" w:history="1">
              <w:r w:rsidRPr="00653EE7">
                <w:rPr>
                  <w:rStyle w:val="Collegamentoipertestuale"/>
                  <w:rFonts w:asciiTheme="minorHAnsi" w:hAnsiTheme="minorHAnsi"/>
                  <w:sz w:val="10"/>
                  <w:szCs w:val="10"/>
                </w:rPr>
                <w:t>https://gallery.farmadati.it/Home.aspx</w:t>
              </w:r>
            </w:hyperlink>
            <w:r w:rsidRPr="00653EE7">
              <w:rPr>
                <w:rFonts w:asciiTheme="minorHAnsi" w:hAnsiTheme="minorHAnsi"/>
                <w:sz w:val="10"/>
                <w:szCs w:val="10"/>
              </w:rPr>
              <w:t xml:space="preserve"> </w:t>
            </w:r>
          </w:p>
          <w:p w:rsidR="00690B73" w:rsidRPr="00653EE7" w:rsidRDefault="00690B73" w:rsidP="00690B73">
            <w:pPr>
              <w:rPr>
                <w:rFonts w:asciiTheme="minorHAnsi" w:hAnsiTheme="minorHAnsi"/>
                <w:sz w:val="10"/>
                <w:szCs w:val="10"/>
              </w:rPr>
            </w:pPr>
            <w:r w:rsidRPr="00653EE7">
              <w:rPr>
                <w:rFonts w:asciiTheme="minorHAnsi" w:hAnsiTheme="minorHAnsi"/>
                <w:sz w:val="10"/>
                <w:szCs w:val="10"/>
              </w:rPr>
              <w:t xml:space="preserve">[5]. </w:t>
            </w:r>
            <w:hyperlink r:id="rId12" w:history="1">
              <w:r w:rsidRPr="00653EE7">
                <w:rPr>
                  <w:rStyle w:val="Collegamentoipertestuale"/>
                  <w:rFonts w:asciiTheme="minorHAnsi" w:hAnsiTheme="minorHAnsi"/>
                  <w:sz w:val="10"/>
                  <w:szCs w:val="10"/>
                </w:rPr>
                <w:t>https://snlg.iss.it/wp-content/uploads/2022/09/LG-486-AIOM_Ca-Cervice-Endometrio.pdf</w:t>
              </w:r>
            </w:hyperlink>
          </w:p>
          <w:p w:rsidR="00690B73" w:rsidRPr="00653EE7" w:rsidRDefault="001D381E">
            <w:pPr>
              <w:rPr>
                <w:rFonts w:asciiTheme="minorHAnsi" w:hAnsiTheme="minorHAnsi"/>
                <w:sz w:val="10"/>
                <w:szCs w:val="10"/>
              </w:rPr>
            </w:pPr>
            <w:r w:rsidRPr="00653EE7">
              <w:rPr>
                <w:rFonts w:asciiTheme="minorHAnsi" w:hAnsiTheme="minorHAnsi"/>
                <w:sz w:val="10"/>
                <w:szCs w:val="10"/>
              </w:rPr>
              <w:t xml:space="preserve">[6]. </w:t>
            </w:r>
            <w:hyperlink r:id="rId13" w:history="1">
              <w:r w:rsidRPr="00653EE7">
                <w:rPr>
                  <w:rStyle w:val="Collegamentoipertestuale"/>
                  <w:rFonts w:asciiTheme="minorHAnsi" w:hAnsiTheme="minorHAnsi"/>
                  <w:sz w:val="10"/>
                  <w:szCs w:val="10"/>
                </w:rPr>
                <w:t>https://gallery.farmadati.it/ViewDoc.aspx</w:t>
              </w:r>
            </w:hyperlink>
            <w:r w:rsidRPr="00653EE7">
              <w:rPr>
                <w:rFonts w:asciiTheme="minorHAnsi" w:hAnsiTheme="minorHAnsi"/>
                <w:sz w:val="10"/>
                <w:szCs w:val="10"/>
              </w:rPr>
              <w:t xml:space="preserve"> </w:t>
            </w:r>
          </w:p>
          <w:p w:rsidR="00690B73" w:rsidRPr="00653EE7" w:rsidRDefault="00690B73" w:rsidP="00690B73">
            <w:pPr>
              <w:rPr>
                <w:rFonts w:asciiTheme="minorHAnsi" w:hAnsiTheme="minorHAnsi"/>
                <w:sz w:val="10"/>
                <w:szCs w:val="10"/>
              </w:rPr>
            </w:pPr>
            <w:r w:rsidRPr="00653EE7">
              <w:rPr>
                <w:rFonts w:asciiTheme="minorHAnsi" w:hAnsiTheme="minorHAnsi"/>
                <w:sz w:val="10"/>
                <w:szCs w:val="10"/>
              </w:rPr>
              <w:t xml:space="preserve">[7]. </w:t>
            </w:r>
            <w:hyperlink r:id="rId14" w:history="1">
              <w:r w:rsidRPr="00653EE7">
                <w:rPr>
                  <w:rStyle w:val="Collegamentoipertestuale"/>
                  <w:rFonts w:asciiTheme="minorHAnsi" w:hAnsiTheme="minorHAnsi"/>
                  <w:sz w:val="10"/>
                  <w:szCs w:val="10"/>
                </w:rPr>
                <w:t>https://adisinsight.springer.com/drugs/800042079</w:t>
              </w:r>
            </w:hyperlink>
          </w:p>
          <w:p w:rsidR="00690B73" w:rsidRPr="00653EE7" w:rsidRDefault="00653EE7" w:rsidP="00653EE7">
            <w:pPr>
              <w:rPr>
                <w:sz w:val="14"/>
                <w:szCs w:val="14"/>
              </w:rPr>
            </w:pPr>
            <w:r w:rsidRPr="00653EE7">
              <w:rPr>
                <w:rFonts w:asciiTheme="minorHAnsi" w:hAnsiTheme="minorHAnsi"/>
                <w:sz w:val="10"/>
                <w:szCs w:val="10"/>
              </w:rPr>
              <w:t xml:space="preserve">[8]. </w:t>
            </w:r>
            <w:r w:rsidRPr="00653EE7">
              <w:rPr>
                <w:rFonts w:asciiTheme="minorHAnsi" w:hAnsiTheme="minorHAnsi" w:cs="Segoe UI"/>
                <w:color w:val="212121"/>
                <w:sz w:val="10"/>
                <w:szCs w:val="10"/>
                <w:shd w:val="clear" w:color="auto" w:fill="FFFFFF"/>
              </w:rPr>
              <w:t xml:space="preserve">Coleman RL, </w:t>
            </w:r>
            <w:proofErr w:type="spellStart"/>
            <w:r w:rsidRPr="00653EE7">
              <w:rPr>
                <w:rFonts w:asciiTheme="minorHAnsi" w:hAnsiTheme="minorHAnsi" w:cs="Segoe UI"/>
                <w:color w:val="212121"/>
                <w:sz w:val="10"/>
                <w:szCs w:val="10"/>
                <w:shd w:val="clear" w:color="auto" w:fill="FFFFFF"/>
              </w:rPr>
              <w:t>Lorusso</w:t>
            </w:r>
            <w:proofErr w:type="spellEnd"/>
            <w:r w:rsidRPr="00653EE7">
              <w:rPr>
                <w:rFonts w:asciiTheme="minorHAnsi" w:hAnsiTheme="minorHAnsi" w:cs="Segoe UI"/>
                <w:color w:val="212121"/>
                <w:sz w:val="10"/>
                <w:szCs w:val="10"/>
                <w:shd w:val="clear" w:color="auto" w:fill="FFFFFF"/>
              </w:rPr>
              <w:t xml:space="preserve"> D, </w:t>
            </w:r>
            <w:proofErr w:type="spellStart"/>
            <w:r w:rsidRPr="00653EE7">
              <w:rPr>
                <w:rFonts w:asciiTheme="minorHAnsi" w:hAnsiTheme="minorHAnsi" w:cs="Segoe UI"/>
                <w:color w:val="212121"/>
                <w:sz w:val="10"/>
                <w:szCs w:val="10"/>
                <w:shd w:val="clear" w:color="auto" w:fill="FFFFFF"/>
              </w:rPr>
              <w:t>Gennigens</w:t>
            </w:r>
            <w:proofErr w:type="spellEnd"/>
            <w:r w:rsidRPr="00653EE7">
              <w:rPr>
                <w:rFonts w:asciiTheme="minorHAnsi" w:hAnsiTheme="minorHAnsi" w:cs="Segoe UI"/>
                <w:color w:val="212121"/>
                <w:sz w:val="10"/>
                <w:szCs w:val="10"/>
                <w:shd w:val="clear" w:color="auto" w:fill="FFFFFF"/>
              </w:rPr>
              <w:t xml:space="preserve"> C, </w:t>
            </w:r>
            <w:proofErr w:type="spellStart"/>
            <w:r w:rsidRPr="00653EE7">
              <w:rPr>
                <w:rFonts w:asciiTheme="minorHAnsi" w:hAnsiTheme="minorHAnsi" w:cs="Segoe UI"/>
                <w:color w:val="212121"/>
                <w:sz w:val="10"/>
                <w:szCs w:val="10"/>
                <w:shd w:val="clear" w:color="auto" w:fill="FFFFFF"/>
              </w:rPr>
              <w:t>González-Martín</w:t>
            </w:r>
            <w:proofErr w:type="spellEnd"/>
            <w:r w:rsidRPr="00653EE7">
              <w:rPr>
                <w:rFonts w:asciiTheme="minorHAnsi" w:hAnsiTheme="minorHAnsi" w:cs="Segoe UI"/>
                <w:color w:val="212121"/>
                <w:sz w:val="10"/>
                <w:szCs w:val="10"/>
                <w:shd w:val="clear" w:color="auto" w:fill="FFFFFF"/>
              </w:rPr>
              <w:t xml:space="preserve"> A, Randall L, </w:t>
            </w:r>
            <w:proofErr w:type="spellStart"/>
            <w:r w:rsidRPr="00653EE7">
              <w:rPr>
                <w:rFonts w:asciiTheme="minorHAnsi" w:hAnsiTheme="minorHAnsi" w:cs="Segoe UI"/>
                <w:color w:val="212121"/>
                <w:sz w:val="10"/>
                <w:szCs w:val="10"/>
                <w:shd w:val="clear" w:color="auto" w:fill="FFFFFF"/>
              </w:rPr>
              <w:t>Cibula</w:t>
            </w:r>
            <w:proofErr w:type="spellEnd"/>
            <w:r w:rsidRPr="00653EE7">
              <w:rPr>
                <w:rFonts w:asciiTheme="minorHAnsi" w:hAnsiTheme="minorHAnsi" w:cs="Segoe UI"/>
                <w:color w:val="212121"/>
                <w:sz w:val="10"/>
                <w:szCs w:val="10"/>
                <w:shd w:val="clear" w:color="auto" w:fill="FFFFFF"/>
              </w:rPr>
              <w:t xml:space="preserve"> D, Lund B, </w:t>
            </w:r>
            <w:proofErr w:type="spellStart"/>
            <w:r w:rsidRPr="00653EE7">
              <w:rPr>
                <w:rFonts w:asciiTheme="minorHAnsi" w:hAnsiTheme="minorHAnsi" w:cs="Segoe UI"/>
                <w:color w:val="212121"/>
                <w:sz w:val="10"/>
                <w:szCs w:val="10"/>
                <w:shd w:val="clear" w:color="auto" w:fill="FFFFFF"/>
              </w:rPr>
              <w:t>Woelber</w:t>
            </w:r>
            <w:proofErr w:type="spellEnd"/>
            <w:r w:rsidRPr="00653EE7">
              <w:rPr>
                <w:rFonts w:asciiTheme="minorHAnsi" w:hAnsiTheme="minorHAnsi" w:cs="Segoe UI"/>
                <w:color w:val="212121"/>
                <w:sz w:val="10"/>
                <w:szCs w:val="10"/>
                <w:shd w:val="clear" w:color="auto" w:fill="FFFFFF"/>
              </w:rPr>
              <w:t xml:space="preserve"> L, </w:t>
            </w:r>
            <w:proofErr w:type="spellStart"/>
            <w:r w:rsidRPr="00653EE7">
              <w:rPr>
                <w:rFonts w:asciiTheme="minorHAnsi" w:hAnsiTheme="minorHAnsi" w:cs="Segoe UI"/>
                <w:color w:val="212121"/>
                <w:sz w:val="10"/>
                <w:szCs w:val="10"/>
                <w:shd w:val="clear" w:color="auto" w:fill="FFFFFF"/>
              </w:rPr>
              <w:t>Pignata</w:t>
            </w:r>
            <w:proofErr w:type="spellEnd"/>
            <w:r w:rsidRPr="00653EE7">
              <w:rPr>
                <w:rFonts w:asciiTheme="minorHAnsi" w:hAnsiTheme="minorHAnsi" w:cs="Segoe UI"/>
                <w:color w:val="212121"/>
                <w:sz w:val="10"/>
                <w:szCs w:val="10"/>
                <w:shd w:val="clear" w:color="auto" w:fill="FFFFFF"/>
              </w:rPr>
              <w:t xml:space="preserve"> S, Forget F, Redondo A, </w:t>
            </w:r>
            <w:proofErr w:type="spellStart"/>
            <w:r w:rsidRPr="00653EE7">
              <w:rPr>
                <w:rFonts w:asciiTheme="minorHAnsi" w:hAnsiTheme="minorHAnsi" w:cs="Segoe UI"/>
                <w:color w:val="212121"/>
                <w:sz w:val="10"/>
                <w:szCs w:val="10"/>
                <w:shd w:val="clear" w:color="auto" w:fill="FFFFFF"/>
              </w:rPr>
              <w:t>Vindeløv</w:t>
            </w:r>
            <w:proofErr w:type="spellEnd"/>
            <w:r w:rsidRPr="00653EE7">
              <w:rPr>
                <w:rFonts w:asciiTheme="minorHAnsi" w:hAnsiTheme="minorHAnsi" w:cs="Segoe UI"/>
                <w:color w:val="212121"/>
                <w:sz w:val="10"/>
                <w:szCs w:val="10"/>
                <w:shd w:val="clear" w:color="auto" w:fill="FFFFFF"/>
              </w:rPr>
              <w:t xml:space="preserve"> SD, Chen M, Harris JR, Smith M, </w:t>
            </w:r>
            <w:proofErr w:type="spellStart"/>
            <w:r w:rsidRPr="00653EE7">
              <w:rPr>
                <w:rFonts w:asciiTheme="minorHAnsi" w:hAnsiTheme="minorHAnsi" w:cs="Segoe UI"/>
                <w:color w:val="212121"/>
                <w:sz w:val="10"/>
                <w:szCs w:val="10"/>
                <w:shd w:val="clear" w:color="auto" w:fill="FFFFFF"/>
              </w:rPr>
              <w:t>Nicacio</w:t>
            </w:r>
            <w:proofErr w:type="spellEnd"/>
            <w:r w:rsidRPr="00653EE7">
              <w:rPr>
                <w:rFonts w:asciiTheme="minorHAnsi" w:hAnsiTheme="minorHAnsi" w:cs="Segoe UI"/>
                <w:color w:val="212121"/>
                <w:sz w:val="10"/>
                <w:szCs w:val="10"/>
                <w:shd w:val="clear" w:color="auto" w:fill="FFFFFF"/>
              </w:rPr>
              <w:t xml:space="preserve"> LV, </w:t>
            </w:r>
            <w:proofErr w:type="spellStart"/>
            <w:r w:rsidRPr="00653EE7">
              <w:rPr>
                <w:rFonts w:asciiTheme="minorHAnsi" w:hAnsiTheme="minorHAnsi" w:cs="Segoe UI"/>
                <w:color w:val="212121"/>
                <w:sz w:val="10"/>
                <w:szCs w:val="10"/>
                <w:shd w:val="clear" w:color="auto" w:fill="FFFFFF"/>
              </w:rPr>
              <w:t>Teng</w:t>
            </w:r>
            <w:proofErr w:type="spellEnd"/>
            <w:r w:rsidRPr="00653EE7">
              <w:rPr>
                <w:rFonts w:asciiTheme="minorHAnsi" w:hAnsiTheme="minorHAnsi" w:cs="Segoe UI"/>
                <w:color w:val="212121"/>
                <w:sz w:val="10"/>
                <w:szCs w:val="10"/>
                <w:shd w:val="clear" w:color="auto" w:fill="FFFFFF"/>
              </w:rPr>
              <w:t xml:space="preserve"> MSL, </w:t>
            </w:r>
            <w:proofErr w:type="spellStart"/>
            <w:r w:rsidRPr="00653EE7">
              <w:rPr>
                <w:rFonts w:asciiTheme="minorHAnsi" w:hAnsiTheme="minorHAnsi" w:cs="Segoe UI"/>
                <w:color w:val="212121"/>
                <w:sz w:val="10"/>
                <w:szCs w:val="10"/>
                <w:shd w:val="clear" w:color="auto" w:fill="FFFFFF"/>
              </w:rPr>
              <w:t>Laenen</w:t>
            </w:r>
            <w:proofErr w:type="spellEnd"/>
            <w:r w:rsidRPr="00653EE7">
              <w:rPr>
                <w:rFonts w:asciiTheme="minorHAnsi" w:hAnsiTheme="minorHAnsi" w:cs="Segoe UI"/>
                <w:color w:val="212121"/>
                <w:sz w:val="10"/>
                <w:szCs w:val="10"/>
                <w:shd w:val="clear" w:color="auto" w:fill="FFFFFF"/>
              </w:rPr>
              <w:t xml:space="preserve"> A, </w:t>
            </w:r>
            <w:proofErr w:type="spellStart"/>
            <w:r w:rsidRPr="00653EE7">
              <w:rPr>
                <w:rFonts w:asciiTheme="minorHAnsi" w:hAnsiTheme="minorHAnsi" w:cs="Segoe UI"/>
                <w:color w:val="212121"/>
                <w:sz w:val="10"/>
                <w:szCs w:val="10"/>
                <w:shd w:val="clear" w:color="auto" w:fill="FFFFFF"/>
              </w:rPr>
              <w:t>Rangwala</w:t>
            </w:r>
            <w:proofErr w:type="spellEnd"/>
            <w:r w:rsidRPr="00653EE7">
              <w:rPr>
                <w:rFonts w:asciiTheme="minorHAnsi" w:hAnsiTheme="minorHAnsi" w:cs="Segoe UI"/>
                <w:color w:val="212121"/>
                <w:sz w:val="10"/>
                <w:szCs w:val="10"/>
                <w:shd w:val="clear" w:color="auto" w:fill="FFFFFF"/>
              </w:rPr>
              <w:t xml:space="preserve"> R, </w:t>
            </w:r>
            <w:proofErr w:type="spellStart"/>
            <w:r w:rsidRPr="00653EE7">
              <w:rPr>
                <w:rFonts w:asciiTheme="minorHAnsi" w:hAnsiTheme="minorHAnsi" w:cs="Segoe UI"/>
                <w:color w:val="212121"/>
                <w:sz w:val="10"/>
                <w:szCs w:val="10"/>
                <w:shd w:val="clear" w:color="auto" w:fill="FFFFFF"/>
              </w:rPr>
              <w:t>Manso</w:t>
            </w:r>
            <w:proofErr w:type="spellEnd"/>
            <w:r w:rsidRPr="00653EE7">
              <w:rPr>
                <w:rFonts w:asciiTheme="minorHAnsi" w:hAnsiTheme="minorHAnsi" w:cs="Segoe UI"/>
                <w:color w:val="212121"/>
                <w:sz w:val="10"/>
                <w:szCs w:val="10"/>
                <w:shd w:val="clear" w:color="auto" w:fill="FFFFFF"/>
              </w:rPr>
              <w:t xml:space="preserve"> L, </w:t>
            </w:r>
            <w:proofErr w:type="spellStart"/>
            <w:r w:rsidRPr="00653EE7">
              <w:rPr>
                <w:rFonts w:asciiTheme="minorHAnsi" w:hAnsiTheme="minorHAnsi" w:cs="Segoe UI"/>
                <w:color w:val="212121"/>
                <w:sz w:val="10"/>
                <w:szCs w:val="10"/>
                <w:shd w:val="clear" w:color="auto" w:fill="FFFFFF"/>
              </w:rPr>
              <w:t>Mirza</w:t>
            </w:r>
            <w:proofErr w:type="spellEnd"/>
            <w:r w:rsidRPr="00653EE7">
              <w:rPr>
                <w:rFonts w:asciiTheme="minorHAnsi" w:hAnsiTheme="minorHAnsi" w:cs="Segoe UI"/>
                <w:color w:val="212121"/>
                <w:sz w:val="10"/>
                <w:szCs w:val="10"/>
                <w:shd w:val="clear" w:color="auto" w:fill="FFFFFF"/>
              </w:rPr>
              <w:t xml:space="preserve"> M, Monk BJ, </w:t>
            </w:r>
            <w:proofErr w:type="spellStart"/>
            <w:r w:rsidRPr="00653EE7">
              <w:rPr>
                <w:rFonts w:asciiTheme="minorHAnsi" w:hAnsiTheme="minorHAnsi" w:cs="Segoe UI"/>
                <w:color w:val="212121"/>
                <w:sz w:val="10"/>
                <w:szCs w:val="10"/>
                <w:shd w:val="clear" w:color="auto" w:fill="FFFFFF"/>
              </w:rPr>
              <w:t>Vergote</w:t>
            </w:r>
            <w:proofErr w:type="spellEnd"/>
            <w:r w:rsidRPr="00653EE7">
              <w:rPr>
                <w:rFonts w:asciiTheme="minorHAnsi" w:hAnsiTheme="minorHAnsi" w:cs="Segoe UI"/>
                <w:color w:val="212121"/>
                <w:sz w:val="10"/>
                <w:szCs w:val="10"/>
                <w:shd w:val="clear" w:color="auto" w:fill="FFFFFF"/>
              </w:rPr>
              <w:t xml:space="preserve"> I; </w:t>
            </w:r>
            <w:proofErr w:type="spellStart"/>
            <w:r w:rsidRPr="00653EE7">
              <w:rPr>
                <w:rFonts w:asciiTheme="minorHAnsi" w:hAnsiTheme="minorHAnsi" w:cs="Segoe UI"/>
                <w:color w:val="212121"/>
                <w:sz w:val="10"/>
                <w:szCs w:val="10"/>
                <w:shd w:val="clear" w:color="auto" w:fill="FFFFFF"/>
              </w:rPr>
              <w:t>innovaTV</w:t>
            </w:r>
            <w:proofErr w:type="spellEnd"/>
            <w:r w:rsidRPr="00653EE7">
              <w:rPr>
                <w:rFonts w:asciiTheme="minorHAnsi" w:hAnsiTheme="minorHAnsi" w:cs="Segoe UI"/>
                <w:color w:val="212121"/>
                <w:sz w:val="10"/>
                <w:szCs w:val="10"/>
                <w:shd w:val="clear" w:color="auto" w:fill="FFFFFF"/>
              </w:rPr>
              <w:t xml:space="preserve"> 204/GOG-3023/ENGOT-cx6 Collaborators. Efficacy and safety of </w:t>
            </w:r>
            <w:proofErr w:type="spellStart"/>
            <w:r w:rsidRPr="00653EE7">
              <w:rPr>
                <w:rFonts w:asciiTheme="minorHAnsi" w:hAnsiTheme="minorHAnsi" w:cs="Segoe UI"/>
                <w:color w:val="212121"/>
                <w:sz w:val="10"/>
                <w:szCs w:val="10"/>
                <w:shd w:val="clear" w:color="auto" w:fill="FFFFFF"/>
              </w:rPr>
              <w:t>tisotumab</w:t>
            </w:r>
            <w:proofErr w:type="spellEnd"/>
            <w:r w:rsidRPr="00653EE7">
              <w:rPr>
                <w:rFonts w:asciiTheme="minorHAnsi" w:hAnsiTheme="minorHAnsi" w:cs="Segoe UI"/>
                <w:color w:val="212121"/>
                <w:sz w:val="10"/>
                <w:szCs w:val="10"/>
                <w:shd w:val="clear" w:color="auto" w:fill="FFFFFF"/>
              </w:rPr>
              <w:t xml:space="preserve"> </w:t>
            </w:r>
            <w:proofErr w:type="spellStart"/>
            <w:r w:rsidRPr="00653EE7">
              <w:rPr>
                <w:rFonts w:asciiTheme="minorHAnsi" w:hAnsiTheme="minorHAnsi" w:cs="Segoe UI"/>
                <w:color w:val="212121"/>
                <w:sz w:val="10"/>
                <w:szCs w:val="10"/>
                <w:shd w:val="clear" w:color="auto" w:fill="FFFFFF"/>
              </w:rPr>
              <w:t>vedotin</w:t>
            </w:r>
            <w:proofErr w:type="spellEnd"/>
            <w:r w:rsidRPr="00653EE7">
              <w:rPr>
                <w:rFonts w:asciiTheme="minorHAnsi" w:hAnsiTheme="minorHAnsi" w:cs="Segoe UI"/>
                <w:color w:val="212121"/>
                <w:sz w:val="10"/>
                <w:szCs w:val="10"/>
                <w:shd w:val="clear" w:color="auto" w:fill="FFFFFF"/>
              </w:rPr>
              <w:t xml:space="preserve"> in previously treated recurrent or metastatic cervical cancer (</w:t>
            </w:r>
            <w:proofErr w:type="spellStart"/>
            <w:r w:rsidRPr="00653EE7">
              <w:rPr>
                <w:rFonts w:asciiTheme="minorHAnsi" w:hAnsiTheme="minorHAnsi" w:cs="Segoe UI"/>
                <w:color w:val="212121"/>
                <w:sz w:val="10"/>
                <w:szCs w:val="10"/>
                <w:shd w:val="clear" w:color="auto" w:fill="FFFFFF"/>
              </w:rPr>
              <w:t>innovaTV</w:t>
            </w:r>
            <w:proofErr w:type="spellEnd"/>
            <w:r w:rsidRPr="00653EE7">
              <w:rPr>
                <w:rFonts w:asciiTheme="minorHAnsi" w:hAnsiTheme="minorHAnsi" w:cs="Segoe UI"/>
                <w:color w:val="212121"/>
                <w:sz w:val="10"/>
                <w:szCs w:val="10"/>
                <w:shd w:val="clear" w:color="auto" w:fill="FFFFFF"/>
              </w:rPr>
              <w:t xml:space="preserve"> 204/GOG-3023/ENGOT-cx6): a multicentre, open-label, single-arm, phase 2 study. Lancet </w:t>
            </w:r>
            <w:proofErr w:type="spellStart"/>
            <w:r w:rsidRPr="00653EE7">
              <w:rPr>
                <w:rFonts w:asciiTheme="minorHAnsi" w:hAnsiTheme="minorHAnsi" w:cs="Segoe UI"/>
                <w:color w:val="212121"/>
                <w:sz w:val="10"/>
                <w:szCs w:val="10"/>
                <w:shd w:val="clear" w:color="auto" w:fill="FFFFFF"/>
              </w:rPr>
              <w:t>Oncol</w:t>
            </w:r>
            <w:proofErr w:type="spellEnd"/>
            <w:r w:rsidRPr="00653EE7">
              <w:rPr>
                <w:rFonts w:asciiTheme="minorHAnsi" w:hAnsiTheme="minorHAnsi" w:cs="Segoe UI"/>
                <w:color w:val="212121"/>
                <w:sz w:val="10"/>
                <w:szCs w:val="10"/>
                <w:shd w:val="clear" w:color="auto" w:fill="FFFFFF"/>
              </w:rPr>
              <w:t xml:space="preserve">. 2021 May;22(5):609-619. </w:t>
            </w:r>
            <w:proofErr w:type="spellStart"/>
            <w:r w:rsidRPr="00653EE7">
              <w:rPr>
                <w:rFonts w:asciiTheme="minorHAnsi" w:hAnsiTheme="minorHAnsi" w:cs="Segoe UI"/>
                <w:color w:val="212121"/>
                <w:sz w:val="10"/>
                <w:szCs w:val="10"/>
                <w:shd w:val="clear" w:color="auto" w:fill="FFFFFF"/>
              </w:rPr>
              <w:t>doi</w:t>
            </w:r>
            <w:proofErr w:type="spellEnd"/>
            <w:r w:rsidRPr="00653EE7">
              <w:rPr>
                <w:rFonts w:asciiTheme="minorHAnsi" w:hAnsiTheme="minorHAnsi" w:cs="Segoe UI"/>
                <w:color w:val="212121"/>
                <w:sz w:val="10"/>
                <w:szCs w:val="10"/>
                <w:shd w:val="clear" w:color="auto" w:fill="FFFFFF"/>
              </w:rPr>
              <w:t xml:space="preserve">: 10.1016/S1470-2045(21)00056-5. </w:t>
            </w:r>
            <w:proofErr w:type="spellStart"/>
            <w:r w:rsidRPr="00653EE7">
              <w:rPr>
                <w:rFonts w:asciiTheme="minorHAnsi" w:hAnsiTheme="minorHAnsi" w:cs="Segoe UI"/>
                <w:color w:val="212121"/>
                <w:sz w:val="10"/>
                <w:szCs w:val="10"/>
                <w:shd w:val="clear" w:color="auto" w:fill="FFFFFF"/>
              </w:rPr>
              <w:t>Epub</w:t>
            </w:r>
            <w:proofErr w:type="spellEnd"/>
            <w:r w:rsidRPr="00653EE7">
              <w:rPr>
                <w:rFonts w:asciiTheme="minorHAnsi" w:hAnsiTheme="minorHAnsi" w:cs="Segoe UI"/>
                <w:color w:val="212121"/>
                <w:sz w:val="10"/>
                <w:szCs w:val="10"/>
                <w:shd w:val="clear" w:color="auto" w:fill="FFFFFF"/>
              </w:rPr>
              <w:t xml:space="preserve"> 2021 Apr 9. PMID: 33845034.</w:t>
            </w:r>
            <w:r w:rsidRPr="00653EE7">
              <w:rPr>
                <w:rFonts w:ascii="Segoe UI" w:hAnsi="Segoe UI" w:cs="Segoe UI"/>
                <w:color w:val="212121"/>
                <w:sz w:val="14"/>
                <w:szCs w:val="14"/>
                <w:shd w:val="clear" w:color="auto" w:fill="FFFFFF"/>
              </w:rPr>
              <w:t xml:space="preserve"> </w:t>
            </w:r>
          </w:p>
        </w:tc>
      </w:tr>
    </w:tbl>
    <w:p w:rsidR="00DC42F5" w:rsidRPr="00653EE7" w:rsidRDefault="00DC42F5">
      <w:pPr>
        <w:rPr>
          <w:sz w:val="14"/>
          <w:szCs w:val="14"/>
        </w:rPr>
      </w:pPr>
    </w:p>
    <w:sectPr w:rsidR="00DC42F5" w:rsidRPr="00653EE7" w:rsidSect="003A7DF9">
      <w:footerReference w:type="default" r:id="rId15"/>
      <w:pgSz w:w="16838" w:h="11906" w:orient="landscape"/>
      <w:pgMar w:top="1134" w:right="1417" w:bottom="1134" w:left="1134" w:header="708" w:footer="5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73" w:rsidRDefault="00690B73">
      <w:pPr>
        <w:spacing w:after="0" w:line="240" w:lineRule="auto"/>
      </w:pPr>
      <w:r>
        <w:separator/>
      </w:r>
    </w:p>
  </w:endnote>
  <w:endnote w:type="continuationSeparator" w:id="1">
    <w:p w:rsidR="00690B73" w:rsidRDefault="0069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73" w:rsidRDefault="00690B73">
    <w:pPr>
      <w:jc w:val="right"/>
    </w:pPr>
    <w:r>
      <w:rPr>
        <w:i/>
      </w:rPr>
      <w:t>Issued on: November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73" w:rsidRDefault="00690B73">
      <w:pPr>
        <w:spacing w:after="0" w:line="240" w:lineRule="auto"/>
      </w:pPr>
      <w:r>
        <w:separator/>
      </w:r>
    </w:p>
  </w:footnote>
  <w:footnote w:type="continuationSeparator" w:id="1">
    <w:p w:rsidR="00690B73" w:rsidRDefault="00690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4099"/>
    <w:multiLevelType w:val="multilevel"/>
    <w:tmpl w:val="E8E89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0"/>
    <w:footnote w:id="1"/>
  </w:footnotePr>
  <w:endnotePr>
    <w:endnote w:id="0"/>
    <w:endnote w:id="1"/>
  </w:endnotePr>
  <w:compat/>
  <w:rsids>
    <w:rsidRoot w:val="00DC42F5"/>
    <w:rsid w:val="00000DC5"/>
    <w:rsid w:val="00054045"/>
    <w:rsid w:val="000C512D"/>
    <w:rsid w:val="00167C9B"/>
    <w:rsid w:val="00190DBE"/>
    <w:rsid w:val="001A39C6"/>
    <w:rsid w:val="001D381E"/>
    <w:rsid w:val="001E31CC"/>
    <w:rsid w:val="002C36C9"/>
    <w:rsid w:val="003A0F1D"/>
    <w:rsid w:val="003A7DF9"/>
    <w:rsid w:val="00424D89"/>
    <w:rsid w:val="004F5740"/>
    <w:rsid w:val="00653EE7"/>
    <w:rsid w:val="00690B73"/>
    <w:rsid w:val="006A5B3E"/>
    <w:rsid w:val="00761F3B"/>
    <w:rsid w:val="007857CE"/>
    <w:rsid w:val="008965E7"/>
    <w:rsid w:val="008F491E"/>
    <w:rsid w:val="00965EFC"/>
    <w:rsid w:val="00973BA9"/>
    <w:rsid w:val="00B756AA"/>
    <w:rsid w:val="00BD314C"/>
    <w:rsid w:val="00CA089E"/>
    <w:rsid w:val="00CB1169"/>
    <w:rsid w:val="00D032B3"/>
    <w:rsid w:val="00DC42F5"/>
    <w:rsid w:val="00DF4E12"/>
    <w:rsid w:val="00E063F8"/>
    <w:rsid w:val="00E263D7"/>
    <w:rsid w:val="00F065C1"/>
    <w:rsid w:val="00F073BC"/>
    <w:rsid w:val="00F5389F"/>
    <w:rsid w:val="00F96F3B"/>
    <w:rsid w:val="00FC24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017"/>
  </w:style>
  <w:style w:type="paragraph" w:styleId="Titolo1">
    <w:name w:val="heading 1"/>
    <w:basedOn w:val="Normale1"/>
    <w:next w:val="Normale1"/>
    <w:rsid w:val="00266E57"/>
    <w:pPr>
      <w:keepNext/>
      <w:keepLines/>
      <w:spacing w:before="480" w:after="120"/>
      <w:outlineLvl w:val="0"/>
    </w:pPr>
    <w:rPr>
      <w:b/>
      <w:sz w:val="48"/>
      <w:szCs w:val="48"/>
    </w:rPr>
  </w:style>
  <w:style w:type="paragraph" w:styleId="Titolo2">
    <w:name w:val="heading 2"/>
    <w:basedOn w:val="Normale1"/>
    <w:next w:val="Normale1"/>
    <w:rsid w:val="00266E57"/>
    <w:pPr>
      <w:keepNext/>
      <w:keepLines/>
      <w:spacing w:before="360" w:after="80"/>
      <w:outlineLvl w:val="1"/>
    </w:pPr>
    <w:rPr>
      <w:b/>
      <w:sz w:val="36"/>
      <w:szCs w:val="36"/>
    </w:rPr>
  </w:style>
  <w:style w:type="paragraph" w:styleId="Titolo3">
    <w:name w:val="heading 3"/>
    <w:basedOn w:val="Normale1"/>
    <w:next w:val="Normale1"/>
    <w:rsid w:val="00266E57"/>
    <w:pPr>
      <w:keepNext/>
      <w:keepLines/>
      <w:spacing w:before="280" w:after="80"/>
      <w:outlineLvl w:val="2"/>
    </w:pPr>
    <w:rPr>
      <w:b/>
      <w:sz w:val="28"/>
      <w:szCs w:val="28"/>
    </w:rPr>
  </w:style>
  <w:style w:type="paragraph" w:styleId="Titolo4">
    <w:name w:val="heading 4"/>
    <w:basedOn w:val="Normale1"/>
    <w:next w:val="Normale1"/>
    <w:rsid w:val="00266E57"/>
    <w:pPr>
      <w:keepNext/>
      <w:keepLines/>
      <w:spacing w:before="240" w:after="40"/>
      <w:outlineLvl w:val="3"/>
    </w:pPr>
    <w:rPr>
      <w:b/>
      <w:sz w:val="24"/>
      <w:szCs w:val="24"/>
    </w:rPr>
  </w:style>
  <w:style w:type="paragraph" w:styleId="Titolo5">
    <w:name w:val="heading 5"/>
    <w:basedOn w:val="Normale1"/>
    <w:next w:val="Normale1"/>
    <w:rsid w:val="00266E57"/>
    <w:pPr>
      <w:keepNext/>
      <w:keepLines/>
      <w:spacing w:before="220" w:after="40"/>
      <w:outlineLvl w:val="4"/>
    </w:pPr>
    <w:rPr>
      <w:b/>
    </w:rPr>
  </w:style>
  <w:style w:type="paragraph" w:styleId="Titolo6">
    <w:name w:val="heading 6"/>
    <w:basedOn w:val="Normale1"/>
    <w:next w:val="Normale1"/>
    <w:rsid w:val="00266E57"/>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DF9"/>
    <w:tblPr>
      <w:tblCellMar>
        <w:top w:w="0" w:type="dxa"/>
        <w:left w:w="0" w:type="dxa"/>
        <w:bottom w:w="0" w:type="dxa"/>
        <w:right w:w="0" w:type="dxa"/>
      </w:tblCellMar>
    </w:tblPr>
  </w:style>
  <w:style w:type="paragraph" w:styleId="Titolo">
    <w:name w:val="Title"/>
    <w:basedOn w:val="Normale1"/>
    <w:next w:val="Normale1"/>
    <w:rsid w:val="00266E57"/>
    <w:pPr>
      <w:keepNext/>
      <w:keepLines/>
      <w:spacing w:before="480" w:after="120"/>
    </w:pPr>
    <w:rPr>
      <w:b/>
      <w:sz w:val="72"/>
      <w:szCs w:val="72"/>
    </w:rPr>
  </w:style>
  <w:style w:type="paragraph" w:customStyle="1" w:styleId="Normale1">
    <w:name w:val="Normale1"/>
    <w:rsid w:val="00266E57"/>
  </w:style>
  <w:style w:type="table" w:customStyle="1" w:styleId="TableNormal0">
    <w:name w:val="Table Normal"/>
    <w:rsid w:val="00266E57"/>
    <w:tblPr>
      <w:tblCellMar>
        <w:top w:w="0" w:type="dxa"/>
        <w:left w:w="0" w:type="dxa"/>
        <w:bottom w:w="0" w:type="dxa"/>
        <w:right w:w="0" w:type="dxa"/>
      </w:tblCellMar>
    </w:tblPr>
  </w:style>
  <w:style w:type="paragraph" w:styleId="Paragrafoelenco">
    <w:name w:val="List Paragraph"/>
    <w:basedOn w:val="Normale"/>
    <w:uiPriority w:val="34"/>
    <w:qFormat/>
    <w:rsid w:val="008D3CDF"/>
    <w:pPr>
      <w:ind w:left="720"/>
      <w:contextualSpacing/>
    </w:pPr>
  </w:style>
  <w:style w:type="character" w:styleId="Collegamentoipertestuale">
    <w:name w:val="Hyperlink"/>
    <w:basedOn w:val="Carpredefinitoparagrafo"/>
    <w:uiPriority w:val="99"/>
    <w:unhideWhenUsed/>
    <w:rsid w:val="0020185C"/>
    <w:rPr>
      <w:color w:val="0000FF" w:themeColor="hyperlink"/>
      <w:u w:val="single"/>
    </w:rPr>
  </w:style>
  <w:style w:type="table" w:styleId="Grigliatabella">
    <w:name w:val="Table Grid"/>
    <w:basedOn w:val="Tabellanormale"/>
    <w:uiPriority w:val="59"/>
    <w:rsid w:val="00C43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opre">
    <w:name w:val="acopre"/>
    <w:basedOn w:val="Carpredefinitoparagrafo"/>
    <w:rsid w:val="007176C0"/>
  </w:style>
  <w:style w:type="character" w:customStyle="1" w:styleId="hgkelc">
    <w:name w:val="hgkelc"/>
    <w:basedOn w:val="Carpredefinitoparagrafo"/>
    <w:rsid w:val="007176C0"/>
  </w:style>
  <w:style w:type="paragraph" w:styleId="Sottotitolo">
    <w:name w:val="Subtitle"/>
    <w:basedOn w:val="Normale"/>
    <w:next w:val="Normale"/>
    <w:rsid w:val="003A7D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266E57"/>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3A7DF9"/>
    <w:pPr>
      <w:spacing w:after="0" w:line="240" w:lineRule="auto"/>
    </w:pPr>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857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57CE"/>
  </w:style>
  <w:style w:type="paragraph" w:styleId="Pidipagina">
    <w:name w:val="footer"/>
    <w:basedOn w:val="Normale"/>
    <w:link w:val="PidipaginaCarattere"/>
    <w:uiPriority w:val="99"/>
    <w:unhideWhenUsed/>
    <w:rsid w:val="007857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57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ma.europa.eu/en/medicines/human/summaries-opinion/libtayo-0" TargetMode="External"/><Relationship Id="rId13" Type="http://schemas.openxmlformats.org/officeDocument/2006/relationships/hyperlink" Target="https://gallery.farmadati.it/ViewDoc.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lg.iss.it/wp-content/uploads/2022/09/LG-486-AIOM_Ca-Cervice-Endometri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ery.farmadati.it/Hom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isinsight.springer.com/drugs/800042079" TargetMode="External"/><Relationship Id="rId4" Type="http://schemas.openxmlformats.org/officeDocument/2006/relationships/settings" Target="settings.xml"/><Relationship Id="rId9" Type="http://schemas.openxmlformats.org/officeDocument/2006/relationships/hyperlink" Target="https://doi.org/10.1016/j.annonc.2021.04.009" TargetMode="External"/><Relationship Id="rId14" Type="http://schemas.openxmlformats.org/officeDocument/2006/relationships/hyperlink" Target="https://adisinsight.springer.com/drugs/8000420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zrLJ4g3zk/uKNVViHpLOm/gMg==">AMUW2mVzkOeG2tZPFfUocNVAk/ez36qa35ZnEBuxcqibbx3Qzg4LEIYOlzzC86MyjgkpEtPgvsGwJuU561uJ1YmF1IlTCGopdhgagUlne4BeCmGEfS6+ljY=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1037</Words>
  <Characters>5913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francesca.schmid</dc:creator>
  <cp:lastModifiedBy>ut9bor006</cp:lastModifiedBy>
  <cp:revision>12</cp:revision>
  <dcterms:created xsi:type="dcterms:W3CDTF">2021-02-10T08:51:00Z</dcterms:created>
  <dcterms:modified xsi:type="dcterms:W3CDTF">2023-01-25T10:10:00Z</dcterms:modified>
</cp:coreProperties>
</file>